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F6" w:rsidRPr="001E0DE2" w:rsidRDefault="00C868FA" w:rsidP="002415C2">
      <w:pPr>
        <w:pStyle w:val="Default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57DE7">
        <w:rPr>
          <w:b/>
          <w:sz w:val="28"/>
          <w:szCs w:val="28"/>
          <w:lang w:val="uk-UA"/>
        </w:rPr>
        <w:t xml:space="preserve">РОЗВИТОК ІНФОРМАЦІЙНО-ДОСЛІДНИЦЬКОЇ КОМПЕТЕНТНОСТІ </w:t>
      </w:r>
      <w:r w:rsidR="00803128" w:rsidRPr="00C57DE7">
        <w:rPr>
          <w:b/>
          <w:sz w:val="28"/>
          <w:szCs w:val="28"/>
          <w:lang w:val="uk-UA"/>
        </w:rPr>
        <w:br/>
      </w:r>
      <w:r w:rsidRPr="00C57DE7">
        <w:rPr>
          <w:b/>
          <w:sz w:val="28"/>
          <w:szCs w:val="28"/>
          <w:lang w:val="uk-UA"/>
        </w:rPr>
        <w:t xml:space="preserve">НАУКОВЦІВ І ВИКЛАДАЧІВ </w:t>
      </w:r>
      <w:r w:rsidR="00C57DE7" w:rsidRPr="00C57DE7">
        <w:rPr>
          <w:b/>
          <w:sz w:val="28"/>
          <w:szCs w:val="28"/>
          <w:lang w:val="uk-UA"/>
        </w:rPr>
        <w:t>З ВИКОРИСТАННЯМ</w:t>
      </w:r>
      <w:r w:rsidR="00803128" w:rsidRPr="00C57DE7">
        <w:rPr>
          <w:b/>
          <w:sz w:val="28"/>
          <w:szCs w:val="28"/>
          <w:lang w:val="uk-UA"/>
        </w:rPr>
        <w:br/>
      </w:r>
      <w:r w:rsidRPr="00C57DE7">
        <w:rPr>
          <w:b/>
          <w:sz w:val="28"/>
          <w:szCs w:val="28"/>
          <w:lang w:val="uk-UA"/>
        </w:rPr>
        <w:t>ВІДКРИТИХ ЕЛЕКТРОННИХ НАУКОВО-ОСВІТНІХ СИ</w:t>
      </w:r>
      <w:r w:rsidRPr="001E0DE2">
        <w:rPr>
          <w:b/>
          <w:sz w:val="28"/>
          <w:szCs w:val="28"/>
        </w:rPr>
        <w:t>СТЕМ</w:t>
      </w:r>
    </w:p>
    <w:p w:rsidR="001917F6" w:rsidRPr="005D27CC" w:rsidRDefault="00C868FA" w:rsidP="002415C2">
      <w:pPr>
        <w:pStyle w:val="Default"/>
        <w:spacing w:line="276" w:lineRule="auto"/>
        <w:jc w:val="center"/>
        <w:rPr>
          <w:b/>
          <w:bCs/>
          <w:color w:val="auto"/>
          <w:lang w:val="uk-UA"/>
        </w:rPr>
      </w:pPr>
      <w:r w:rsidRPr="005D27CC">
        <w:rPr>
          <w:b/>
          <w:bCs/>
          <w:color w:val="auto"/>
          <w:lang w:val="uk-UA"/>
        </w:rPr>
        <w:t>Іванова С</w:t>
      </w:r>
      <w:r w:rsidR="001917F6" w:rsidRPr="005D27CC">
        <w:rPr>
          <w:b/>
          <w:bCs/>
          <w:color w:val="auto"/>
          <w:lang w:val="uk-UA"/>
        </w:rPr>
        <w:t>.</w:t>
      </w:r>
      <w:r w:rsidRPr="005D27CC">
        <w:rPr>
          <w:b/>
          <w:bCs/>
          <w:color w:val="auto"/>
          <w:lang w:val="uk-UA"/>
        </w:rPr>
        <w:t>М.</w:t>
      </w:r>
      <w:r w:rsidR="001917F6" w:rsidRPr="005D27CC">
        <w:rPr>
          <w:b/>
          <w:bCs/>
          <w:color w:val="auto"/>
          <w:lang w:val="uk-UA"/>
        </w:rPr>
        <w:t xml:space="preserve">, </w:t>
      </w:r>
      <w:r w:rsidRPr="005D27CC">
        <w:rPr>
          <w:b/>
          <w:bCs/>
          <w:color w:val="auto"/>
          <w:lang w:val="uk-UA"/>
        </w:rPr>
        <w:t>Дудко</w:t>
      </w:r>
      <w:r w:rsidR="00410A51" w:rsidRPr="005D27CC">
        <w:rPr>
          <w:b/>
          <w:bCs/>
          <w:color w:val="auto"/>
          <w:lang w:val="uk-UA"/>
        </w:rPr>
        <w:t xml:space="preserve"> </w:t>
      </w:r>
      <w:r w:rsidRPr="005D27CC">
        <w:rPr>
          <w:b/>
          <w:bCs/>
          <w:color w:val="auto"/>
          <w:lang w:val="uk-UA"/>
        </w:rPr>
        <w:t>А</w:t>
      </w:r>
      <w:r w:rsidR="00410A51" w:rsidRPr="005D27CC">
        <w:rPr>
          <w:b/>
          <w:bCs/>
          <w:color w:val="auto"/>
          <w:lang w:val="uk-UA"/>
        </w:rPr>
        <w:t xml:space="preserve">. </w:t>
      </w:r>
      <w:r w:rsidRPr="005D27CC">
        <w:rPr>
          <w:b/>
          <w:bCs/>
          <w:color w:val="auto"/>
          <w:lang w:val="uk-UA"/>
        </w:rPr>
        <w:t>Ф</w:t>
      </w:r>
      <w:r w:rsidR="001917F6" w:rsidRPr="005D27CC">
        <w:rPr>
          <w:b/>
          <w:bCs/>
          <w:color w:val="auto"/>
          <w:lang w:val="uk-UA"/>
        </w:rPr>
        <w:t>.</w:t>
      </w:r>
    </w:p>
    <w:p w:rsidR="001917F6" w:rsidRPr="005D27CC" w:rsidRDefault="00624026" w:rsidP="002415C2">
      <w:pPr>
        <w:pStyle w:val="Default"/>
        <w:spacing w:line="276" w:lineRule="auto"/>
        <w:jc w:val="center"/>
        <w:rPr>
          <w:bCs/>
          <w:i/>
          <w:iCs/>
          <w:lang w:val="uk-UA"/>
        </w:rPr>
      </w:pPr>
      <w:r w:rsidRPr="005D27CC">
        <w:rPr>
          <w:bCs/>
          <w:i/>
          <w:iCs/>
          <w:lang w:val="uk-UA"/>
        </w:rPr>
        <w:t>Інститут інформаційних технологій і засобів навчання НАПН України</w:t>
      </w:r>
      <w:r w:rsidR="001917F6" w:rsidRPr="005D27CC">
        <w:rPr>
          <w:bCs/>
          <w:i/>
          <w:iCs/>
          <w:lang w:val="uk-UA"/>
        </w:rPr>
        <w:t>, Київ</w:t>
      </w:r>
    </w:p>
    <w:p w:rsidR="00D95E0C" w:rsidRPr="002415C2" w:rsidRDefault="00D11DE3" w:rsidP="002415C2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415C2">
        <w:rPr>
          <w:rFonts w:ascii="Times New Roman" w:hAnsi="Times New Roman" w:cs="Times New Roman"/>
          <w:b/>
          <w:sz w:val="28"/>
          <w:szCs w:val="28"/>
          <w:lang w:val="uk-UA"/>
        </w:rPr>
        <w:t>Постановка та актуальність проблеми.</w:t>
      </w:r>
      <w:r w:rsidR="00E14B27" w:rsidRPr="00241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19CF" w:rsidRPr="002415C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«Стратегії розвитку інформаційного суспільства в Україні» [1] значущість українського сегмента </w:t>
      </w:r>
      <w:r w:rsidR="00107666" w:rsidRPr="002415C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Інтернету</w:t>
      </w:r>
      <w:r w:rsidR="00D119CF" w:rsidRPr="002415C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як одного з найважливіших інструментів розвитку інформаційного суспільства та конкурентоспроможності держави є пріоритетом, зокрема, декларується необхідність підвищення рівня інформаційної представленості України та вітчизняних інформаційних ресурсів в інтернет-просторі. У «Концепції розвитку цифрової економіки та суспільства України на 2018–2020 роки» [2] наголошується, що при системному державному підході цифрові технології будуть значно стимулювати розвиток відкритого інформаційного суспільства, підвищувати продуктивність, економічне зростання та якість життя громадян України. У свою чергу, створення українського контенту відповідно до національних або регіональних потреб, сприятиме інтеграції України до європейських і глобальних систем та інфраструктур. </w:t>
      </w:r>
    </w:p>
    <w:p w:rsidR="00D95E0C" w:rsidRPr="002415C2" w:rsidRDefault="00D95E0C" w:rsidP="002415C2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Відкриті електронні науково-освітні системи (ВЕНОС)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2415C2">
        <w:rPr>
          <w:rFonts w:ascii="Times New Roman" w:hAnsi="Times New Roman" w:cs="Times New Roman"/>
          <w:i/>
          <w:sz w:val="28"/>
          <w:szCs w:val="28"/>
          <w:lang w:val="uk-UA"/>
        </w:rPr>
        <w:t>автоматизован</w:t>
      </w:r>
      <w:r w:rsidR="00107666" w:rsidRPr="00107666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2415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інформаційн</w:t>
      </w:r>
      <w:r w:rsidR="00107666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2415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систем</w:t>
      </w:r>
      <w:r w:rsidR="00107666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2415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що містять дані переважно освітнього і наукового спрямування, забезпечують інформаційну підтримку освіти й науки та технологічно використовують комп’ютерну інформаційно-комунікаційну платформу для транспортування і опрацювання інформаційних об’єктів </w:t>
      </w:r>
      <w:r w:rsidRPr="002415C2">
        <w:rPr>
          <w:rFonts w:ascii="Times New Roman" w:hAnsi="Times New Roman" w:cs="Times New Roman"/>
          <w:sz w:val="28"/>
          <w:szCs w:val="28"/>
          <w:lang w:val="uk-UA" w:eastAsia="zh-CN"/>
        </w:rPr>
        <w:t>[</w:t>
      </w:r>
      <w:r w:rsidR="00D119CF" w:rsidRPr="002415C2">
        <w:rPr>
          <w:rFonts w:ascii="Times New Roman" w:hAnsi="Times New Roman" w:cs="Times New Roman"/>
          <w:sz w:val="28"/>
          <w:szCs w:val="28"/>
          <w:lang w:val="uk-UA" w:eastAsia="zh-CN"/>
        </w:rPr>
        <w:t>3</w:t>
      </w:r>
      <w:r w:rsidRPr="002415C2">
        <w:rPr>
          <w:rFonts w:ascii="Times New Roman" w:hAnsi="Times New Roman" w:cs="Times New Roman"/>
          <w:sz w:val="28"/>
          <w:szCs w:val="28"/>
          <w:lang w:val="uk-UA" w:eastAsia="zh-CN"/>
        </w:rPr>
        <w:t>]</w:t>
      </w:r>
      <w:r w:rsidRPr="002415C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95E0C" w:rsidRPr="002415C2" w:rsidRDefault="00D95E0C" w:rsidP="002415C2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sz w:val="28"/>
          <w:szCs w:val="28"/>
          <w:lang w:val="uk-UA" w:eastAsia="zh-CN"/>
        </w:rPr>
      </w:pPr>
      <w:r w:rsidRPr="002415C2">
        <w:rPr>
          <w:sz w:val="28"/>
          <w:szCs w:val="28"/>
          <w:lang w:val="uk-UA" w:eastAsia="zh-CN"/>
        </w:rPr>
        <w:t xml:space="preserve">Для впровадження в освітню та наукову практику відповідних електронних систем і їхніх сервісів необхідно володіння науковими і науково-педагогічними працівниками відповідними </w:t>
      </w:r>
      <w:proofErr w:type="spellStart"/>
      <w:r w:rsidRPr="002415C2">
        <w:rPr>
          <w:sz w:val="28"/>
          <w:szCs w:val="28"/>
          <w:lang w:val="uk-UA" w:eastAsia="zh-CN"/>
        </w:rPr>
        <w:t>компетентностями</w:t>
      </w:r>
      <w:proofErr w:type="spellEnd"/>
      <w:r w:rsidRPr="002415C2">
        <w:rPr>
          <w:sz w:val="28"/>
          <w:szCs w:val="28"/>
          <w:lang w:val="uk-UA" w:eastAsia="zh-CN"/>
        </w:rPr>
        <w:t>, зокрема</w:t>
      </w:r>
      <w:r w:rsidRPr="002415C2">
        <w:rPr>
          <w:b/>
          <w:i/>
          <w:sz w:val="28"/>
          <w:szCs w:val="28"/>
          <w:lang w:val="uk-UA" w:eastAsia="zh-CN"/>
        </w:rPr>
        <w:t xml:space="preserve"> </w:t>
      </w:r>
      <w:r w:rsidRPr="002415C2">
        <w:rPr>
          <w:sz w:val="28"/>
          <w:szCs w:val="28"/>
          <w:lang w:val="uk-UA" w:eastAsia="zh-CN"/>
        </w:rPr>
        <w:t xml:space="preserve">інформаційно-дослідницькою. </w:t>
      </w:r>
    </w:p>
    <w:p w:rsidR="00D95E0C" w:rsidRPr="002415C2" w:rsidRDefault="00D95E0C" w:rsidP="002415C2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sz w:val="28"/>
          <w:szCs w:val="28"/>
          <w:lang w:val="uk-UA" w:eastAsia="zh-CN"/>
        </w:rPr>
      </w:pPr>
      <w:r w:rsidRPr="002415C2">
        <w:rPr>
          <w:b/>
          <w:i/>
          <w:sz w:val="28"/>
          <w:szCs w:val="28"/>
          <w:lang w:val="uk-UA" w:eastAsia="zh-CN"/>
        </w:rPr>
        <w:t>Інформаційно-дослідницька компетентність (ІД компетентність)</w:t>
      </w:r>
      <w:r w:rsidRPr="002415C2">
        <w:rPr>
          <w:i/>
          <w:sz w:val="28"/>
          <w:szCs w:val="28"/>
          <w:lang w:val="uk-UA" w:eastAsia="zh-CN"/>
        </w:rPr>
        <w:t xml:space="preserve"> розуміється як здатність особистості на основі опанованих знань, умінь, навичок і набутого досвіду використовувати інформаційно-цифрові технології для організації, планування, проведення власних індивідуальних або спільних наукових досліджень, а також для оцінювання й впровадження їх результатів та здійснення моніторингу</w:t>
      </w:r>
      <w:r w:rsidRPr="002415C2">
        <w:rPr>
          <w:sz w:val="28"/>
          <w:szCs w:val="28"/>
          <w:lang w:val="uk-UA" w:eastAsia="zh-CN"/>
        </w:rPr>
        <w:t xml:space="preserve"> </w:t>
      </w:r>
      <w:r w:rsidRPr="002415C2">
        <w:rPr>
          <w:i/>
          <w:sz w:val="28"/>
          <w:szCs w:val="28"/>
          <w:lang w:val="uk-UA" w:eastAsia="zh-CN"/>
        </w:rPr>
        <w:t>такого впровадження</w:t>
      </w:r>
      <w:r w:rsidRPr="002415C2">
        <w:rPr>
          <w:sz w:val="28"/>
          <w:szCs w:val="28"/>
          <w:lang w:val="uk-UA" w:eastAsia="zh-CN"/>
        </w:rPr>
        <w:t xml:space="preserve"> [</w:t>
      </w:r>
      <w:r w:rsidR="006B7B85" w:rsidRPr="002415C2">
        <w:rPr>
          <w:sz w:val="28"/>
          <w:szCs w:val="28"/>
          <w:lang w:val="uk-UA" w:eastAsia="zh-CN"/>
        </w:rPr>
        <w:t>3</w:t>
      </w:r>
      <w:r w:rsidRPr="002415C2">
        <w:rPr>
          <w:sz w:val="28"/>
          <w:szCs w:val="28"/>
          <w:lang w:val="uk-UA" w:eastAsia="zh-CN"/>
        </w:rPr>
        <w:t xml:space="preserve">]. </w:t>
      </w:r>
    </w:p>
    <w:p w:rsidR="00004F21" w:rsidRPr="002415C2" w:rsidRDefault="00D95E0C" w:rsidP="002415C2">
      <w:pPr>
        <w:pStyle w:val="a4"/>
        <w:shd w:val="clear" w:color="auto" w:fill="FFFFFF"/>
        <w:spacing w:before="0" w:after="0" w:line="276" w:lineRule="auto"/>
        <w:ind w:firstLine="567"/>
        <w:jc w:val="both"/>
        <w:rPr>
          <w:sz w:val="28"/>
          <w:szCs w:val="28"/>
          <w:lang w:val="uk-UA"/>
        </w:rPr>
      </w:pPr>
      <w:r w:rsidRPr="002415C2">
        <w:rPr>
          <w:sz w:val="28"/>
          <w:szCs w:val="28"/>
          <w:lang w:val="uk-UA" w:eastAsia="zh-CN"/>
        </w:rPr>
        <w:t xml:space="preserve">Процес розвитку цієї компетентності передбачає набуття нового досвіду використання інформаційно-цифрових технологій шляхом цілеспрямованого навчання, підвищення кваліфікації, саморозвитку і самовдосконалення наукових і науково-педагогічних працівників, що може бути реалізоване у різноманітних формах, зокрема шляхом проведення семінарів, </w:t>
      </w:r>
      <w:proofErr w:type="spellStart"/>
      <w:r w:rsidRPr="002415C2">
        <w:rPr>
          <w:sz w:val="28"/>
          <w:szCs w:val="28"/>
          <w:lang w:val="uk-UA" w:eastAsia="zh-CN"/>
        </w:rPr>
        <w:t>вебінарів</w:t>
      </w:r>
      <w:proofErr w:type="spellEnd"/>
      <w:r w:rsidRPr="002415C2">
        <w:rPr>
          <w:sz w:val="28"/>
          <w:szCs w:val="28"/>
          <w:lang w:val="uk-UA" w:eastAsia="zh-CN"/>
        </w:rPr>
        <w:t>, круглих столів, практичних занять та ін. Звідси випливає потреба у організації освітнього процесу на базі спеціально розробленої методики, ефективність якої має бути перевірена педагогічним експериментом.</w:t>
      </w:r>
    </w:p>
    <w:p w:rsidR="00D11DE3" w:rsidRPr="002415C2" w:rsidRDefault="00D11DE3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6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Новизна і наукові здобутки автор</w:t>
      </w:r>
      <w:r w:rsidR="008933A5" w:rsidRPr="00107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</w:t>
      </w:r>
      <w:r w:rsidR="008933A5" w:rsidRPr="00107666">
        <w:rPr>
          <w:rFonts w:ascii="Times New Roman" w:hAnsi="Times New Roman" w:cs="Times New Roman"/>
          <w:sz w:val="28"/>
          <w:szCs w:val="28"/>
          <w:lang w:val="uk-UA"/>
        </w:rPr>
        <w:t>полягають у моделі та методики використання відкритих електронних науково-освітніх систем для розвитку ІД компетентності науковців</w:t>
      </w:r>
      <w:r w:rsidR="00107666" w:rsidRPr="00107666"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проведення навчання на їх основі</w:t>
      </w:r>
      <w:r w:rsidR="008933A5" w:rsidRPr="001076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1DE3" w:rsidRPr="002415C2" w:rsidRDefault="00D11DE3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b/>
          <w:sz w:val="28"/>
          <w:szCs w:val="28"/>
          <w:lang w:val="uk-UA"/>
        </w:rPr>
        <w:t>Завдання дослідження</w:t>
      </w:r>
      <w:r w:rsidR="00BA273B" w:rsidRPr="00241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полягало</w:t>
      </w:r>
      <w:r w:rsidR="00BA273B"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37D"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у перевірці ефективності </w:t>
      </w:r>
      <w:r w:rsidR="0066572D" w:rsidRPr="002415C2">
        <w:rPr>
          <w:rFonts w:ascii="Times New Roman" w:hAnsi="Times New Roman" w:cs="Times New Roman"/>
          <w:sz w:val="28"/>
          <w:szCs w:val="28"/>
          <w:lang w:val="uk-UA"/>
        </w:rPr>
        <w:t>авторської</w:t>
      </w:r>
      <w:r w:rsidR="00E3137D"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методики, що базується на використанні відкритих електронних науково-освітніх систем для підвищення рівня розвитку ІД компетентності наукових і науково-педагогічних працівників у процесі їхньої підготовки та підвищення кваліфікації.</w:t>
      </w:r>
    </w:p>
    <w:p w:rsidR="00E3137D" w:rsidRPr="002415C2" w:rsidRDefault="00D11DE3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дослідження. </w:t>
      </w:r>
      <w:r w:rsidR="00E3137D" w:rsidRPr="002415C2">
        <w:rPr>
          <w:rFonts w:ascii="Times New Roman" w:hAnsi="Times New Roman" w:cs="Times New Roman"/>
          <w:sz w:val="28"/>
          <w:szCs w:val="28"/>
          <w:lang w:val="uk-UA"/>
        </w:rPr>
        <w:t>Дослідження проводилось протягом 2019–2020 років. Експериментальною базою стали Вінницький державний педагогічний університет імені Михайла Коцюбинського, Навчально-науковий інститут Національного авіаційного університету, Житомирський державний університет імені Івана Франка та наукові установи НАПН України. У педагогічному експерименті взяло участь 142 респонденти, з них 71 увійшло в експериментальну групу (ЕГ) та 71 – у контрольну групу (КГ).</w:t>
      </w:r>
    </w:p>
    <w:p w:rsidR="00E3137D" w:rsidRPr="002415C2" w:rsidRDefault="00E3137D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педагогічного експерименту проводилось опрацювання даних, співставлення результатів дослідження, їх аналіз; опис ходу та проведення дослідження на основі методів статистичного опрацювання даних, узагальнення,  порівняння і оформлення результатів, отриманих на початок та кінець формувального етапу експерименту в КГ і ЕГ. На початку та в кінці формувального етапу у КГ та ЕГ було оцінено рівні розвитку ІД компетентності наукових і науково-педагогічних працівників за базовим, середнім та високим рівнями. З цією метою застосовувались методи анкетування та тестування. ЕГ проходила навчання, що здійснювалось відповідно до методики використання ВЕНОС для розвитку ІД компетентності наукових і науково-педагогічних працівників. </w:t>
      </w:r>
    </w:p>
    <w:p w:rsidR="00E3137D" w:rsidRPr="002415C2" w:rsidRDefault="00E3137D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На базі ІІТЗН НАПН України та в зазначених вище установах проводились тренінги, семінари, майстер-класи з питань наукометрії та використання </w:t>
      </w:r>
      <w:proofErr w:type="spellStart"/>
      <w:r w:rsidRPr="002415C2">
        <w:rPr>
          <w:rFonts w:ascii="Times New Roman" w:hAnsi="Times New Roman" w:cs="Times New Roman"/>
          <w:sz w:val="28"/>
          <w:szCs w:val="28"/>
          <w:lang w:val="uk-UA"/>
        </w:rPr>
        <w:t>ВЕНОС</w:t>
      </w:r>
      <w:proofErr w:type="spellEnd"/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з метою розвитку ІД компетентності, наукових і науково-педагогічних працівників за розробленими авторами статті навчально-методичними матеріалами, які описано у роботі </w:t>
      </w:r>
      <w:r w:rsidR="00713CA0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>, с. 314–316]. Поряд із цим наукові та науково-педагогічні працівники, які пройшли навчання в ЕГ, були підготовлені як тренери для колег.</w:t>
      </w:r>
    </w:p>
    <w:p w:rsidR="00D11DE3" w:rsidRPr="002415C2" w:rsidRDefault="00E3137D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>Наукові і науково-педагогічні працівники, які виявили бажання проходити навчання традиційно, зокрема самостійно, увійшли до КГ. КГ було надано необхідні матеріали для самостійного опанування та підвищення кваліфікації.</w:t>
      </w:r>
    </w:p>
    <w:p w:rsidR="0077271F" w:rsidRPr="002415C2" w:rsidRDefault="000B57FB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b/>
          <w:sz w:val="28"/>
          <w:szCs w:val="28"/>
          <w:lang w:val="uk-UA"/>
        </w:rPr>
        <w:t>Результати</w:t>
      </w:r>
      <w:r w:rsidR="0077271F" w:rsidRPr="00241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7271F" w:rsidRPr="002415C2">
        <w:rPr>
          <w:rFonts w:ascii="Times New Roman" w:hAnsi="Times New Roman" w:cs="Times New Roman"/>
          <w:sz w:val="28"/>
          <w:szCs w:val="28"/>
          <w:lang w:val="uk-UA"/>
        </w:rPr>
        <w:t>Для виявлення рівня розвитку ціннісно-мотиваційного компонента ІД компетентності було проведено анкетування (Анкета №1 «Ціннісно-мотиваційний компонент» [</w:t>
      </w:r>
      <w:r w:rsidR="002415C2" w:rsidRPr="002415C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7271F" w:rsidRPr="002415C2">
        <w:rPr>
          <w:rFonts w:ascii="Times New Roman" w:hAnsi="Times New Roman" w:cs="Times New Roman"/>
          <w:sz w:val="28"/>
          <w:szCs w:val="28"/>
          <w:lang w:val="uk-UA"/>
        </w:rPr>
        <w:t>]). Позитивна відповідь на одне завдання оцінювалась в 1 бал. Опрацювання отриманих результатів на початок та кінець формувального етапу педагогічного експерименту у КГ та ЕГ здійснювалося шляхом переведення абсолютних значень індивідуальних балів наукових і науково-педагогічних працівників у відносні за формулою (1):</w:t>
      </w: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8546"/>
        <w:gridCol w:w="1068"/>
      </w:tblGrid>
      <w:tr w:rsidR="0077271F" w:rsidRPr="002415C2" w:rsidTr="00BB3073">
        <w:trPr>
          <w:jc w:val="center"/>
        </w:trPr>
        <w:tc>
          <w:tcPr>
            <w:tcW w:w="500" w:type="pct"/>
            <w:vAlign w:val="center"/>
          </w:tcPr>
          <w:p w:rsidR="0077271F" w:rsidRPr="002415C2" w:rsidRDefault="0077271F" w:rsidP="002415C2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00" w:type="pct"/>
            <w:vAlign w:val="center"/>
          </w:tcPr>
          <w:p w:rsidR="0077271F" w:rsidRPr="002415C2" w:rsidRDefault="0077271F" w:rsidP="00713CA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415C2"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object w:dxaOrig="200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39.75pt" o:ole="">
                  <v:imagedata r:id="rId6" o:title=""/>
                </v:shape>
                <o:OLEObject Type="Embed" ProgID="Equation.DSMT4" ShapeID="_x0000_i1025" DrawAspect="Content" ObjectID="_1666626889" r:id="rId7"/>
              </w:object>
            </w:r>
            <w:r w:rsidRPr="002415C2"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500" w:type="pct"/>
            <w:vAlign w:val="center"/>
          </w:tcPr>
          <w:p w:rsidR="0077271F" w:rsidRPr="002415C2" w:rsidRDefault="0077271F" w:rsidP="00713CA0">
            <w:pPr>
              <w:spacing w:line="276" w:lineRule="auto"/>
              <w:ind w:firstLine="25"/>
              <w:jc w:val="both"/>
              <w:rPr>
                <w:sz w:val="28"/>
                <w:szCs w:val="28"/>
                <w:lang w:val="uk-UA"/>
              </w:rPr>
            </w:pPr>
            <w:r w:rsidRPr="002415C2">
              <w:rPr>
                <w:sz w:val="28"/>
                <w:szCs w:val="28"/>
                <w:lang w:val="uk-UA"/>
              </w:rPr>
              <w:t>(</w:t>
            </w:r>
            <w:r w:rsidR="00DC5969" w:rsidRPr="002415C2">
              <w:rPr>
                <w:sz w:val="28"/>
                <w:szCs w:val="28"/>
                <w:lang w:val="uk-UA"/>
              </w:rPr>
              <w:fldChar w:fldCharType="begin"/>
            </w:r>
            <w:r w:rsidRPr="002415C2">
              <w:rPr>
                <w:sz w:val="28"/>
                <w:szCs w:val="28"/>
                <w:lang w:val="uk-UA"/>
              </w:rPr>
              <w:instrText xml:space="preserve"> SEQ 4. \* ARABIC </w:instrText>
            </w:r>
            <w:r w:rsidR="00DC5969" w:rsidRPr="002415C2">
              <w:rPr>
                <w:sz w:val="28"/>
                <w:szCs w:val="28"/>
                <w:lang w:val="uk-UA"/>
              </w:rPr>
              <w:fldChar w:fldCharType="separate"/>
            </w:r>
            <w:r w:rsidRPr="002415C2">
              <w:rPr>
                <w:sz w:val="28"/>
                <w:szCs w:val="28"/>
                <w:lang w:val="uk-UA"/>
              </w:rPr>
              <w:t>1</w:t>
            </w:r>
            <w:r w:rsidR="00DC5969" w:rsidRPr="002415C2">
              <w:rPr>
                <w:sz w:val="28"/>
                <w:szCs w:val="28"/>
                <w:lang w:val="uk-UA"/>
              </w:rPr>
              <w:fldChar w:fldCharType="end"/>
            </w:r>
            <w:r w:rsidRPr="002415C2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object w:dxaOrig="340" w:dyaOrig="380">
          <v:shape id="_x0000_i1026" type="#_x0000_t75" style="width:17.25pt;height:18.75pt" o:ole="">
            <v:imagedata r:id="rId8" o:title=""/>
          </v:shape>
          <o:OLEObject Type="Embed" ProgID="Equation.DSMT4" ShapeID="_x0000_i1026" DrawAspect="Content" ObjectID="_1666626890" r:id="rId9"/>
        </w:objec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– індивідуальний бал і-ого наукового/науково-педагогічного працівника за тест/анкету; 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object w:dxaOrig="340" w:dyaOrig="420">
          <v:shape id="_x0000_i1027" type="#_x0000_t75" style="width:17.25pt;height:22.5pt" o:ole="">
            <v:imagedata r:id="rId10" o:title=""/>
          </v:shape>
          <o:OLEObject Type="Embed" ProgID="Equation.DSMT4" ShapeID="_x0000_i1027" DrawAspect="Content" ObjectID="_1666626891" r:id="rId11"/>
        </w:objec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– відносне значення індивідуального балу і-ого наукового/науково-педагогічного працівника за тест/анкету; 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object w:dxaOrig="580" w:dyaOrig="380">
          <v:shape id="_x0000_i1028" type="#_x0000_t75" style="width:30pt;height:18.75pt" o:ole="">
            <v:imagedata r:id="rId12" o:title=""/>
          </v:shape>
          <o:OLEObject Type="Embed" ProgID="Equation.DSMT4" ShapeID="_x0000_i1028" DrawAspect="Content" ObjectID="_1666626892" r:id="rId13"/>
        </w:objec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– максимальне значення індивідуального балу за тест/анкету.</w:t>
      </w:r>
    </w:p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рівнів розвитку ціннісно-мотиваційного компонента ІД компетентності наукових і науково-педагогічних працівників здійснено порівняння отриманих даних з загальними оцінками рівнів розвитку компонентів ІД компетентності, що наведено у табл. </w:t>
      </w:r>
      <w:r w:rsidR="002415C2" w:rsidRPr="002415C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271F" w:rsidRPr="00713CA0" w:rsidRDefault="0077271F" w:rsidP="00713CA0">
      <w:pPr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1" w:name="_Ref512334422"/>
      <w:r w:rsidRPr="00713C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Таблиця </w:t>
      </w:r>
      <w:bookmarkEnd w:id="1"/>
      <w:r w:rsidR="002415C2" w:rsidRPr="00713CA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</w:p>
    <w:p w:rsidR="0077271F" w:rsidRPr="00713CA0" w:rsidRDefault="0077271F" w:rsidP="00713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3C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оцінки рівнів розвитку компонентів ІД компетентності наукових і </w:t>
      </w:r>
      <w:r w:rsidR="00107666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713CA0">
        <w:rPr>
          <w:rFonts w:ascii="Times New Roman" w:hAnsi="Times New Roman" w:cs="Times New Roman"/>
          <w:b/>
          <w:sz w:val="24"/>
          <w:szCs w:val="24"/>
          <w:lang w:val="uk-UA"/>
        </w:rPr>
        <w:t>науково-педагогічних працівників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559"/>
        <w:gridCol w:w="2773"/>
      </w:tblGrid>
      <w:tr w:rsidR="0077271F" w:rsidRPr="00713CA0" w:rsidTr="00713CA0">
        <w:trPr>
          <w:jc w:val="center"/>
        </w:trPr>
        <w:tc>
          <w:tcPr>
            <w:tcW w:w="2559" w:type="dxa"/>
            <w:vAlign w:val="center"/>
          </w:tcPr>
          <w:p w:rsidR="0077271F" w:rsidRPr="00713CA0" w:rsidRDefault="0077271F" w:rsidP="002415C2">
            <w:pPr>
              <w:spacing w:line="276" w:lineRule="auto"/>
              <w:ind w:firstLine="567"/>
              <w:jc w:val="both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713CA0">
              <w:rPr>
                <w:rFonts w:eastAsiaTheme="minorHAnsi"/>
                <w:b/>
                <w:sz w:val="28"/>
                <w:szCs w:val="28"/>
                <w:lang w:val="uk-UA" w:eastAsia="en-US"/>
              </w:rPr>
              <w:t>Рівень</w:t>
            </w:r>
          </w:p>
        </w:tc>
        <w:tc>
          <w:tcPr>
            <w:tcW w:w="2773" w:type="dxa"/>
            <w:vAlign w:val="center"/>
          </w:tcPr>
          <w:p w:rsidR="0077271F" w:rsidRPr="00713CA0" w:rsidRDefault="0077271F" w:rsidP="002415C2">
            <w:pPr>
              <w:spacing w:line="276" w:lineRule="auto"/>
              <w:ind w:firstLine="567"/>
              <w:jc w:val="both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713CA0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Показник</w:t>
            </w:r>
          </w:p>
        </w:tc>
      </w:tr>
      <w:tr w:rsidR="0077271F" w:rsidRPr="002415C2" w:rsidTr="00713CA0">
        <w:trPr>
          <w:jc w:val="center"/>
        </w:trPr>
        <w:tc>
          <w:tcPr>
            <w:tcW w:w="2559" w:type="dxa"/>
            <w:vAlign w:val="center"/>
          </w:tcPr>
          <w:p w:rsidR="0077271F" w:rsidRPr="002415C2" w:rsidRDefault="0077271F" w:rsidP="002415C2">
            <w:pPr>
              <w:spacing w:line="276" w:lineRule="auto"/>
              <w:ind w:firstLine="567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15C2">
              <w:rPr>
                <w:rFonts w:eastAsiaTheme="minorHAnsi"/>
                <w:sz w:val="28"/>
                <w:szCs w:val="28"/>
                <w:lang w:val="uk-UA" w:eastAsia="en-US"/>
              </w:rPr>
              <w:t>Базовий</w:t>
            </w:r>
          </w:p>
        </w:tc>
        <w:tc>
          <w:tcPr>
            <w:tcW w:w="2773" w:type="dxa"/>
            <w:vAlign w:val="center"/>
          </w:tcPr>
          <w:p w:rsidR="0077271F" w:rsidRPr="002415C2" w:rsidRDefault="0077271F" w:rsidP="002415C2">
            <w:pPr>
              <w:spacing w:line="276" w:lineRule="auto"/>
              <w:ind w:firstLine="567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15C2">
              <w:rPr>
                <w:rFonts w:eastAsiaTheme="minorHAnsi"/>
                <w:sz w:val="28"/>
                <w:szCs w:val="28"/>
                <w:lang w:val="uk-UA" w:eastAsia="en-US"/>
              </w:rPr>
              <w:t>30–50%</w:t>
            </w:r>
          </w:p>
        </w:tc>
      </w:tr>
      <w:tr w:rsidR="0077271F" w:rsidRPr="002415C2" w:rsidTr="00713CA0">
        <w:trPr>
          <w:jc w:val="center"/>
        </w:trPr>
        <w:tc>
          <w:tcPr>
            <w:tcW w:w="2559" w:type="dxa"/>
            <w:vAlign w:val="center"/>
          </w:tcPr>
          <w:p w:rsidR="0077271F" w:rsidRPr="002415C2" w:rsidRDefault="0077271F" w:rsidP="002415C2">
            <w:pPr>
              <w:spacing w:line="276" w:lineRule="auto"/>
              <w:ind w:firstLine="567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15C2">
              <w:rPr>
                <w:rFonts w:eastAsiaTheme="minorHAnsi"/>
                <w:sz w:val="28"/>
                <w:szCs w:val="28"/>
                <w:lang w:val="uk-UA" w:eastAsia="en-US"/>
              </w:rPr>
              <w:t>Середній</w:t>
            </w:r>
          </w:p>
        </w:tc>
        <w:tc>
          <w:tcPr>
            <w:tcW w:w="2773" w:type="dxa"/>
            <w:vAlign w:val="center"/>
          </w:tcPr>
          <w:p w:rsidR="0077271F" w:rsidRPr="002415C2" w:rsidRDefault="0077271F" w:rsidP="002415C2">
            <w:pPr>
              <w:spacing w:line="276" w:lineRule="auto"/>
              <w:ind w:firstLine="567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15C2">
              <w:rPr>
                <w:rFonts w:eastAsiaTheme="minorHAnsi"/>
                <w:sz w:val="28"/>
                <w:szCs w:val="28"/>
                <w:lang w:val="uk-UA" w:eastAsia="en-US"/>
              </w:rPr>
              <w:t>51–75%</w:t>
            </w:r>
          </w:p>
        </w:tc>
      </w:tr>
      <w:tr w:rsidR="0077271F" w:rsidRPr="002415C2" w:rsidTr="00713CA0">
        <w:trPr>
          <w:jc w:val="center"/>
        </w:trPr>
        <w:tc>
          <w:tcPr>
            <w:tcW w:w="2559" w:type="dxa"/>
            <w:vAlign w:val="center"/>
          </w:tcPr>
          <w:p w:rsidR="0077271F" w:rsidRPr="002415C2" w:rsidRDefault="0077271F" w:rsidP="002415C2">
            <w:pPr>
              <w:spacing w:line="276" w:lineRule="auto"/>
              <w:ind w:firstLine="567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15C2">
              <w:rPr>
                <w:rFonts w:eastAsiaTheme="minorHAnsi"/>
                <w:sz w:val="28"/>
                <w:szCs w:val="28"/>
                <w:lang w:val="uk-UA" w:eastAsia="en-US"/>
              </w:rPr>
              <w:t>Високий</w:t>
            </w:r>
          </w:p>
        </w:tc>
        <w:tc>
          <w:tcPr>
            <w:tcW w:w="2773" w:type="dxa"/>
            <w:vAlign w:val="center"/>
          </w:tcPr>
          <w:p w:rsidR="0077271F" w:rsidRPr="002415C2" w:rsidRDefault="0077271F" w:rsidP="002415C2">
            <w:pPr>
              <w:spacing w:line="276" w:lineRule="auto"/>
              <w:ind w:firstLine="567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15C2">
              <w:rPr>
                <w:rFonts w:eastAsiaTheme="minorHAnsi"/>
                <w:sz w:val="28"/>
                <w:szCs w:val="28"/>
                <w:lang w:val="uk-UA" w:eastAsia="en-US"/>
              </w:rPr>
              <w:t>76–100%</w:t>
            </w:r>
          </w:p>
        </w:tc>
      </w:tr>
    </w:tbl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Значення на початок та кінець етапу педагогічного експерименту у КГ та ЕГ отримано як середні арифметичні відносних значень індивідуальних балів наукових і науково-педагогічних працівників відповідно у КГ та ЕГ. </w:t>
      </w:r>
    </w:p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>Аналіз результатів педагогічного експерименту дозволив дійти висновку: на початок педагогічного експерименту рівень розвитку ціннісно-мотиваційного компонента ІД компетентності у КГ становив 21 %, у ЕГ 24 % і знаходився нижче базового рівня (&lt;30%), а на кінець педагогічного експерименту у КГ групи рівень розвитку ціннісно-мотиваційного компонента ІД компетентності зріс до 49% базового рівня (30–50%), а у ЕГ – до 75 % (51–75%) середнього рівня. Динаміка змін між рівнями розвитку ціннісно-мотиваційного компонента на 23 % вище у ЕГ, ніж у КГ.</w:t>
      </w:r>
    </w:p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>Здійснення педагогічних впливів у процесі цілеспрямованого навчання на розвиток ціннісно-мотиваційного компонента ІД компетентності наукових і науково-педагогічних працівників формує усвідомлення потреби використання ВЕНОС у професійній діяльності науковця та стимулює зростання зацікавленості в отриманні актуальних, додаткових відомостей щодо можливостей їх використання, створює емоційну готовність до систематичного використання ВЕНОС у процесі проведення науково-педагогічних досліджень.</w:t>
      </w:r>
    </w:p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>Опрацювання інших компонентів ІД компетентності наукових і науково-педагогічних працівників проводилось аналогічно</w:t>
      </w:r>
      <w:r w:rsidR="002415C2"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Тестового завдання №1 «Когнітивний компонент» [4], Тестового завдання №2 «Операційно-діяльнісний компонент» [4] та Тестового завдання №3 «Дослідницький компонент» [4]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Після опрацювання складових ІД компетентності наукових і науково-педагогічних працівників (ціннісно-мотиваційного, когнітивного, </w:t>
      </w:r>
      <w:proofErr w:type="spellStart"/>
      <w:r w:rsidRPr="002415C2">
        <w:rPr>
          <w:rFonts w:ascii="Times New Roman" w:hAnsi="Times New Roman" w:cs="Times New Roman"/>
          <w:sz w:val="28"/>
          <w:szCs w:val="28"/>
          <w:lang w:val="uk-UA"/>
        </w:rPr>
        <w:t>операційно-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діяльнісного</w:t>
      </w:r>
      <w:proofErr w:type="spellEnd"/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 та дослідницького) значення ІД компетентності у цілому визначалося як середнє арифметичне від відповідних значень її складових.</w:t>
      </w:r>
    </w:p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>Аналіз результатів педагогічного експерименту щодо всіх складових ІД компетентності наукових і науково-педагогічних працівників дозволив зробити висновок: на початок педагогічного експерименту рівень розвитку ІД компетентності наукових і науково-педагогічних працівників в КГ становив 25%, а у ЕГ 28 %, що нижче базового рівня (&lt;30%), а на кінець педагогічного експерименту в КГ рівень ІД компетентності збільшився до 56%, що відповідає середньому рівню (51–75 %), а у ЕГ – до 83 %, що відповідає високому рівню (75–100 %). Динаміка змін між рівнями розвитку ІД компетентності на 23 % вище у ЕГ, ніж у КГ. Аналіз результатів педагогічного експерименту дав змогу виявити, що найвищі показники рівня розвитку ІД компетентності отримали когнітивна та дослідницька складові ІД компетентності наукових і науково-педагогічних працівників.</w:t>
      </w:r>
    </w:p>
    <w:p w:rsidR="0077271F" w:rsidRPr="002415C2" w:rsidRDefault="0077271F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Для оцінювання достовірності відмінності двох вибірок в дослідженні було обрано метод Фішера (або </w:t>
      </w:r>
      <w:r w:rsidRPr="002415C2">
        <w:rPr>
          <w:rFonts w:ascii="Times New Roman" w:hAnsi="Times New Roman" w:cs="Times New Roman"/>
          <w:sz w:val="28"/>
          <w:szCs w:val="28"/>
        </w:rPr>
        <w:object w:dxaOrig="320" w:dyaOrig="400">
          <v:shape id="_x0000_i1029" type="#_x0000_t75" style="width:17.25pt;height:19.5pt" o:ole="">
            <v:imagedata r:id="rId14" o:title=""/>
          </v:shape>
          <o:OLEObject Type="Embed" ProgID="Equation.DSMT4" ShapeID="_x0000_i1029" DrawAspect="Content" ObjectID="_1666626893" r:id="rId15"/>
        </w:objec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>– критерій) [</w:t>
      </w:r>
      <w:r w:rsidR="00CF5F37" w:rsidRPr="002415C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 w:rsidRPr="001E0DE2">
        <w:rPr>
          <w:rFonts w:ascii="Times New Roman" w:hAnsi="Times New Roman" w:cs="Times New Roman"/>
          <w:sz w:val="28"/>
          <w:szCs w:val="28"/>
          <w:lang w:val="uk-UA"/>
        </w:rPr>
        <w:t xml:space="preserve">Спочатку було перевірено достовірність гіпотези щодо відсутності відмінностей між рівнями розвитку ІД компетентності ЕГ та КГ </w:t>
      </w:r>
      <w:r w:rsidRPr="001E0DE2">
        <w:rPr>
          <w:rFonts w:ascii="Times New Roman" w:hAnsi="Times New Roman" w:cs="Times New Roman"/>
          <w:i/>
          <w:sz w:val="28"/>
          <w:szCs w:val="28"/>
          <w:lang w:val="uk-UA"/>
        </w:rPr>
        <w:t>до</w:t>
      </w:r>
      <w:r w:rsidRPr="001E0DE2">
        <w:rPr>
          <w:rFonts w:ascii="Times New Roman" w:hAnsi="Times New Roman" w:cs="Times New Roman"/>
          <w:sz w:val="28"/>
          <w:szCs w:val="28"/>
          <w:lang w:val="uk-UA"/>
        </w:rPr>
        <w:t xml:space="preserve"> проходження навчання. Також за критерієм Фішера було перевірено достовірність гіпотези щодо наявності відмінностей між рівнями ІД компетентності ЕГ і КГ за результатами кінцевого зрізу. </w:t>
      </w:r>
    </w:p>
    <w:p w:rsidR="002415C2" w:rsidRDefault="00D11DE3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5C2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Pr="002415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15C2">
        <w:rPr>
          <w:sz w:val="28"/>
          <w:szCs w:val="28"/>
        </w:rPr>
        <w:t xml:space="preserve"> </w:t>
      </w:r>
      <w:r w:rsidR="002415C2"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Після аналізу </w:t>
      </w:r>
      <w:r w:rsidR="002415C2">
        <w:rPr>
          <w:rFonts w:ascii="Times New Roman" w:hAnsi="Times New Roman" w:cs="Times New Roman"/>
          <w:sz w:val="28"/>
          <w:szCs w:val="28"/>
          <w:lang w:val="uk-UA"/>
        </w:rPr>
        <w:t xml:space="preserve">отриманих даних </w:t>
      </w:r>
      <w:r w:rsidR="002415C2" w:rsidRPr="002415C2">
        <w:rPr>
          <w:rFonts w:ascii="Times New Roman" w:hAnsi="Times New Roman" w:cs="Times New Roman"/>
          <w:sz w:val="28"/>
          <w:szCs w:val="28"/>
          <w:lang w:val="uk-UA"/>
        </w:rPr>
        <w:t xml:space="preserve">робимо висновок, що на початку педагогічного експерименту ІД компетентність наукових і науково-педагогічних працівників в КГ та ЕГ була нижче базового рівня, а на кінець педагогічного експерименту у КГ рівень ІД компетентності зріс до середнього, а у ЕГ – до високого. Таким чином, можна зробити висновок, що використання запропонованої методики позитивно впливає на динаміку рівнів розвитку ІД компетентності. </w:t>
      </w:r>
    </w:p>
    <w:p w:rsidR="00A60188" w:rsidRDefault="00A60188" w:rsidP="002415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0188" w:rsidRPr="00A60188" w:rsidRDefault="00A60188" w:rsidP="00A6018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60188">
        <w:rPr>
          <w:rFonts w:ascii="Times New Roman" w:hAnsi="Times New Roman" w:cs="Times New Roman"/>
          <w:b/>
          <w:sz w:val="24"/>
          <w:szCs w:val="24"/>
          <w:lang w:val="uk-UA"/>
        </w:rPr>
        <w:t>Список  використаних  джерел</w:t>
      </w:r>
    </w:p>
    <w:p w:rsidR="00D119CF" w:rsidRPr="0028043E" w:rsidRDefault="00D119CF" w:rsidP="002415C2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i/>
        </w:rPr>
      </w:pPr>
      <w:r w:rsidRPr="0028043E">
        <w:rPr>
          <w:i/>
        </w:rPr>
        <w:t>Кабінет міністрів України. Концепція 67-р</w:t>
      </w:r>
      <w:r w:rsidR="00A60188" w:rsidRPr="0028043E">
        <w:rPr>
          <w:i/>
        </w:rPr>
        <w:t>.</w:t>
      </w:r>
      <w:r w:rsidRPr="0028043E">
        <w:rPr>
          <w:i/>
        </w:rPr>
        <w:t xml:space="preserve"> Про схвалення Концепції розвитку цифрової економіки</w:t>
      </w:r>
      <w:r w:rsidR="00A60188" w:rsidRPr="0028043E">
        <w:rPr>
          <w:i/>
        </w:rPr>
        <w:t xml:space="preserve"> та суспільства України на 2018-</w:t>
      </w:r>
      <w:r w:rsidRPr="0028043E">
        <w:rPr>
          <w:i/>
        </w:rPr>
        <w:t xml:space="preserve">2020 роки та затвердження плану заходів щодо її реалізації. </w:t>
      </w:r>
      <w:r w:rsidR="00A60188" w:rsidRPr="0028043E">
        <w:rPr>
          <w:i/>
        </w:rPr>
        <w:t xml:space="preserve">(2018, Січ. 17). </w:t>
      </w:r>
      <w:r w:rsidR="00A60188" w:rsidRPr="0028043E">
        <w:rPr>
          <w:rFonts w:eastAsia="Calibri"/>
          <w:i/>
          <w:spacing w:val="-6"/>
          <w:lang w:eastAsia="en-US"/>
        </w:rPr>
        <w:t>URL</w:t>
      </w:r>
      <w:r w:rsidR="00A60188" w:rsidRPr="0028043E">
        <w:rPr>
          <w:rFonts w:eastAsia="Calibri"/>
          <w:i/>
          <w:spacing w:val="-6"/>
          <w:lang w:val="en-US" w:eastAsia="en-US"/>
        </w:rPr>
        <w:t> </w:t>
      </w:r>
      <w:r w:rsidR="00A60188" w:rsidRPr="0028043E">
        <w:rPr>
          <w:i/>
          <w:shd w:val="clear" w:color="auto" w:fill="FFFFFF"/>
          <w:lang w:eastAsia="ru-RU"/>
        </w:rPr>
        <w:t>:</w:t>
      </w:r>
      <w:r w:rsidR="00A60188" w:rsidRPr="0028043E">
        <w:rPr>
          <w:i/>
        </w:rPr>
        <w:t xml:space="preserve"> </w:t>
      </w:r>
      <w:hyperlink r:id="rId16" w:history="1">
        <w:r w:rsidRPr="0028043E">
          <w:rPr>
            <w:i/>
          </w:rPr>
          <w:t>https://zakon.rada.gov.ua/laws/show/67-2018-%D1%80/sp:max10</w:t>
        </w:r>
      </w:hyperlink>
      <w:r w:rsidRPr="0028043E">
        <w:rPr>
          <w:i/>
        </w:rPr>
        <w:t>.</w:t>
      </w:r>
    </w:p>
    <w:p w:rsidR="00D119CF" w:rsidRPr="0028043E" w:rsidRDefault="00D119CF" w:rsidP="002415C2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i/>
        </w:rPr>
      </w:pPr>
      <w:r w:rsidRPr="0028043E">
        <w:rPr>
          <w:i/>
        </w:rPr>
        <w:t xml:space="preserve">Кабінет Міністрів України. </w:t>
      </w:r>
      <w:r w:rsidR="00A60188" w:rsidRPr="0028043E">
        <w:rPr>
          <w:i/>
        </w:rPr>
        <w:t xml:space="preserve">Стратегія № 386. </w:t>
      </w:r>
      <w:r w:rsidRPr="0028043E">
        <w:rPr>
          <w:i/>
        </w:rPr>
        <w:t xml:space="preserve">Про схвалення Стратегії розвитку інформаційного суспільства в Україні. </w:t>
      </w:r>
      <w:r w:rsidR="00A60188" w:rsidRPr="0028043E">
        <w:rPr>
          <w:i/>
        </w:rPr>
        <w:t xml:space="preserve">(2013, Трав. 15). </w:t>
      </w:r>
      <w:proofErr w:type="spellStart"/>
      <w:r w:rsidR="00A60188" w:rsidRPr="0028043E">
        <w:rPr>
          <w:rFonts w:eastAsia="Calibri"/>
          <w:i/>
          <w:spacing w:val="-6"/>
          <w:lang w:eastAsia="en-US"/>
        </w:rPr>
        <w:t>URL</w:t>
      </w:r>
      <w:proofErr w:type="spellEnd"/>
      <w:r w:rsidR="00A60188" w:rsidRPr="0028043E">
        <w:rPr>
          <w:i/>
          <w:shd w:val="clear" w:color="auto" w:fill="FFFFFF"/>
          <w:lang w:eastAsia="ru-RU"/>
        </w:rPr>
        <w:t>:</w:t>
      </w:r>
      <w:r w:rsidR="00C67A64">
        <w:rPr>
          <w:i/>
        </w:rPr>
        <w:t xml:space="preserve"> </w:t>
      </w:r>
      <w:hyperlink r:id="rId17" w:anchor="n8" w:history="1">
        <w:proofErr w:type="spellStart"/>
        <w:r w:rsidRPr="0028043E">
          <w:rPr>
            <w:i/>
          </w:rPr>
          <w:t>https</w:t>
        </w:r>
        <w:proofErr w:type="spellEnd"/>
        <w:r w:rsidRPr="0028043E">
          <w:rPr>
            <w:i/>
          </w:rPr>
          <w:t>://</w:t>
        </w:r>
        <w:proofErr w:type="spellStart"/>
        <w:r w:rsidRPr="0028043E">
          <w:rPr>
            <w:i/>
          </w:rPr>
          <w:t>zakon.rada.gov.ua</w:t>
        </w:r>
        <w:proofErr w:type="spellEnd"/>
        <w:r w:rsidRPr="0028043E">
          <w:rPr>
            <w:i/>
          </w:rPr>
          <w:t>/</w:t>
        </w:r>
        <w:proofErr w:type="spellStart"/>
        <w:r w:rsidRPr="0028043E">
          <w:rPr>
            <w:i/>
          </w:rPr>
          <w:t>laws</w:t>
        </w:r>
        <w:proofErr w:type="spellEnd"/>
        <w:r w:rsidRPr="0028043E">
          <w:rPr>
            <w:i/>
          </w:rPr>
          <w:t>/</w:t>
        </w:r>
        <w:proofErr w:type="spellStart"/>
        <w:r w:rsidRPr="0028043E">
          <w:rPr>
            <w:i/>
          </w:rPr>
          <w:t>show</w:t>
        </w:r>
        <w:proofErr w:type="spellEnd"/>
        <w:r w:rsidRPr="0028043E">
          <w:rPr>
            <w:i/>
          </w:rPr>
          <w:t>/386-2013-%D1%80#n8</w:t>
        </w:r>
      </w:hyperlink>
      <w:r w:rsidRPr="0028043E">
        <w:rPr>
          <w:i/>
        </w:rPr>
        <w:t>.</w:t>
      </w:r>
    </w:p>
    <w:p w:rsidR="00A60188" w:rsidRPr="0028043E" w:rsidRDefault="00A60188" w:rsidP="00A60188">
      <w:pPr>
        <w:pStyle w:val="a8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i/>
        </w:rPr>
      </w:pPr>
      <w:r w:rsidRPr="0028043E">
        <w:rPr>
          <w:i/>
        </w:rPr>
        <w:t xml:space="preserve">Модель використання відкритих електронних науково-освітніх систем для розвитку інформаційно-дослідницької компетентності наукових і науково-педагогічних працівників / О. М. </w:t>
      </w:r>
      <w:proofErr w:type="spellStart"/>
      <w:r w:rsidRPr="0028043E">
        <w:rPr>
          <w:i/>
        </w:rPr>
        <w:t>Спірін</w:t>
      </w:r>
      <w:proofErr w:type="spellEnd"/>
      <w:r w:rsidRPr="0028043E">
        <w:rPr>
          <w:i/>
        </w:rPr>
        <w:t xml:space="preserve"> та ін. 2020. Інформаційні технології і засоби навчання: електрон. наук. фахове вид. 2020. № 3 (77). С. 302-323. URL: </w:t>
      </w:r>
      <w:hyperlink r:id="rId18" w:history="1">
        <w:r w:rsidRPr="0028043E">
          <w:rPr>
            <w:i/>
          </w:rPr>
          <w:t>https://journal.iitta.gov.ua/index.php/itlt/article/view/3985</w:t>
        </w:r>
      </w:hyperlink>
      <w:r w:rsidRPr="0028043E">
        <w:rPr>
          <w:i/>
          <w:lang w:val="en-US"/>
        </w:rPr>
        <w:t>.</w:t>
      </w:r>
    </w:p>
    <w:p w:rsidR="00CF5F37" w:rsidRPr="0028043E" w:rsidRDefault="00CF5F37" w:rsidP="002415C2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i/>
        </w:rPr>
      </w:pPr>
      <w:r w:rsidRPr="0028043E">
        <w:rPr>
          <w:i/>
        </w:rPr>
        <w:t>Діагностичний інструментарій для визначення рівня розвитку ІД-компетентності наукових і науково-педагогічних працівників</w:t>
      </w:r>
      <w:r w:rsidR="00A60188" w:rsidRPr="0028043E">
        <w:rPr>
          <w:i/>
        </w:rPr>
        <w:t xml:space="preserve"> / С.</w:t>
      </w:r>
      <w:r w:rsidR="00A60188" w:rsidRPr="0028043E">
        <w:rPr>
          <w:i/>
          <w:lang w:val="ru-RU"/>
        </w:rPr>
        <w:t> </w:t>
      </w:r>
      <w:r w:rsidR="00A60188" w:rsidRPr="0028043E">
        <w:rPr>
          <w:i/>
        </w:rPr>
        <w:t>М. Іванова.</w:t>
      </w:r>
      <w:r w:rsidRPr="0028043E">
        <w:rPr>
          <w:i/>
        </w:rPr>
        <w:t xml:space="preserve"> 2020. </w:t>
      </w:r>
      <w:r w:rsidR="00A60188" w:rsidRPr="0028043E">
        <w:rPr>
          <w:rFonts w:eastAsia="Calibri"/>
          <w:i/>
          <w:spacing w:val="-6"/>
          <w:lang w:eastAsia="en-US"/>
        </w:rPr>
        <w:t>URL</w:t>
      </w:r>
      <w:r w:rsidR="00A60188" w:rsidRPr="0028043E">
        <w:rPr>
          <w:rFonts w:eastAsia="Calibri"/>
          <w:i/>
          <w:spacing w:val="-6"/>
          <w:lang w:val="en-US" w:eastAsia="en-US"/>
        </w:rPr>
        <w:t> </w:t>
      </w:r>
      <w:r w:rsidR="00A60188" w:rsidRPr="0028043E">
        <w:rPr>
          <w:i/>
          <w:shd w:val="clear" w:color="auto" w:fill="FFFFFF"/>
          <w:lang w:eastAsia="ru-RU"/>
        </w:rPr>
        <w:t>:</w:t>
      </w:r>
      <w:r w:rsidR="00A60188" w:rsidRPr="0028043E">
        <w:rPr>
          <w:i/>
        </w:rPr>
        <w:t xml:space="preserve"> </w:t>
      </w:r>
      <w:hyperlink r:id="rId19" w:tgtFrame="_blank" w:history="1">
        <w:r w:rsidRPr="0028043E">
          <w:rPr>
            <w:i/>
          </w:rPr>
          <w:t>https://lib.iitta.gov.ua/721612/</w:t>
        </w:r>
      </w:hyperlink>
      <w:r w:rsidRPr="0028043E">
        <w:rPr>
          <w:i/>
        </w:rPr>
        <w:t>.</w:t>
      </w:r>
    </w:p>
    <w:p w:rsidR="00E769E8" w:rsidRPr="0028043E" w:rsidRDefault="00E769E8" w:rsidP="002415C2">
      <w:pPr>
        <w:pStyle w:val="a8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i/>
          <w:lang w:val="ru-RU"/>
        </w:rPr>
      </w:pPr>
      <w:r w:rsidRPr="0028043E">
        <w:rPr>
          <w:i/>
        </w:rPr>
        <w:t>Фишер</w:t>
      </w:r>
      <w:r w:rsidR="00A60188" w:rsidRPr="0028043E">
        <w:rPr>
          <w:i/>
        </w:rPr>
        <w:t> Р.</w:t>
      </w:r>
      <w:r w:rsidR="00A60188" w:rsidRPr="0028043E">
        <w:rPr>
          <w:i/>
          <w:lang w:val="ru-RU"/>
        </w:rPr>
        <w:t> </w:t>
      </w:r>
      <w:r w:rsidR="00A60188" w:rsidRPr="0028043E">
        <w:rPr>
          <w:i/>
        </w:rPr>
        <w:t>А.</w:t>
      </w:r>
      <w:r w:rsidRPr="0028043E">
        <w:rPr>
          <w:i/>
        </w:rPr>
        <w:t xml:space="preserve"> </w:t>
      </w:r>
      <w:r w:rsidRPr="0028043E">
        <w:rPr>
          <w:i/>
          <w:lang w:val="ru-RU"/>
        </w:rPr>
        <w:t xml:space="preserve">Статистические методы для исследователей. М.: </w:t>
      </w:r>
      <w:proofErr w:type="spellStart"/>
      <w:r w:rsidRPr="0028043E">
        <w:rPr>
          <w:i/>
          <w:lang w:val="ru-RU"/>
        </w:rPr>
        <w:t>Госстатиздат</w:t>
      </w:r>
      <w:proofErr w:type="spellEnd"/>
      <w:r w:rsidRPr="0028043E">
        <w:rPr>
          <w:i/>
          <w:lang w:val="ru-RU"/>
        </w:rPr>
        <w:t>, 1958.</w:t>
      </w:r>
      <w:r w:rsidR="00A60188" w:rsidRPr="0028043E">
        <w:rPr>
          <w:i/>
          <w:lang w:val="ru-RU"/>
        </w:rPr>
        <w:t xml:space="preserve"> 267 с.</w:t>
      </w:r>
    </w:p>
    <w:sectPr w:rsidR="00E769E8" w:rsidRPr="0028043E" w:rsidSect="001917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860507"/>
    <w:multiLevelType w:val="multilevel"/>
    <w:tmpl w:val="01C4011E"/>
    <w:lvl w:ilvl="0">
      <w:start w:val="1"/>
      <w:numFmt w:val="decimal"/>
      <w:lvlText w:val="%1."/>
      <w:lvlJc w:val="left"/>
      <w:pPr>
        <w:ind w:left="790" w:hanging="360"/>
      </w:pPr>
      <w:rPr>
        <w:i w:val="0"/>
        <w:color w:val="auto"/>
      </w:rPr>
    </w:lvl>
    <w:lvl w:ilvl="1">
      <w:start w:val="3"/>
      <w:numFmt w:val="decimal"/>
      <w:isLgl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2160"/>
      </w:pPr>
      <w:rPr>
        <w:rFonts w:hint="default"/>
      </w:rPr>
    </w:lvl>
  </w:abstractNum>
  <w:abstractNum w:abstractNumId="2">
    <w:nsid w:val="46E741CC"/>
    <w:multiLevelType w:val="hybridMultilevel"/>
    <w:tmpl w:val="C6DA1958"/>
    <w:lvl w:ilvl="0" w:tplc="0000000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3B005E"/>
    <w:multiLevelType w:val="hybridMultilevel"/>
    <w:tmpl w:val="9F4A88F6"/>
    <w:lvl w:ilvl="0" w:tplc="0000000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0EA47AF"/>
    <w:multiLevelType w:val="multilevel"/>
    <w:tmpl w:val="BFDE1D34"/>
    <w:lvl w:ilvl="0">
      <w:start w:val="1"/>
      <w:numFmt w:val="decimal"/>
      <w:lvlText w:val="%1."/>
      <w:lvlJc w:val="left"/>
      <w:pPr>
        <w:ind w:left="790" w:hanging="360"/>
      </w:pPr>
      <w:rPr>
        <w:i w:val="0"/>
        <w:color w:val="auto"/>
      </w:rPr>
    </w:lvl>
    <w:lvl w:ilvl="1">
      <w:start w:val="3"/>
      <w:numFmt w:val="decimal"/>
      <w:isLgl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2160"/>
      </w:pPr>
      <w:rPr>
        <w:rFonts w:hint="default"/>
      </w:rPr>
    </w:lvl>
  </w:abstractNum>
  <w:abstractNum w:abstractNumId="5">
    <w:nsid w:val="65DC6C2D"/>
    <w:multiLevelType w:val="hybridMultilevel"/>
    <w:tmpl w:val="73BA2B92"/>
    <w:lvl w:ilvl="0" w:tplc="0000000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FB958DD"/>
    <w:multiLevelType w:val="hybridMultilevel"/>
    <w:tmpl w:val="AA96EBDC"/>
    <w:lvl w:ilvl="0" w:tplc="B4F25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163618"/>
    <w:multiLevelType w:val="hybridMultilevel"/>
    <w:tmpl w:val="FA309414"/>
    <w:lvl w:ilvl="0" w:tplc="512EE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17F6"/>
    <w:rsid w:val="00004F21"/>
    <w:rsid w:val="00094982"/>
    <w:rsid w:val="000B57FB"/>
    <w:rsid w:val="00107666"/>
    <w:rsid w:val="001917F6"/>
    <w:rsid w:val="00194CC6"/>
    <w:rsid w:val="001E0DE2"/>
    <w:rsid w:val="002415C2"/>
    <w:rsid w:val="0028043E"/>
    <w:rsid w:val="00285472"/>
    <w:rsid w:val="002D4FE1"/>
    <w:rsid w:val="0034047C"/>
    <w:rsid w:val="00341FAD"/>
    <w:rsid w:val="003B2644"/>
    <w:rsid w:val="003B63A4"/>
    <w:rsid w:val="00410A51"/>
    <w:rsid w:val="00490E59"/>
    <w:rsid w:val="0050240B"/>
    <w:rsid w:val="00543A6F"/>
    <w:rsid w:val="005D27CC"/>
    <w:rsid w:val="005D30D1"/>
    <w:rsid w:val="0060171A"/>
    <w:rsid w:val="0062315E"/>
    <w:rsid w:val="00624026"/>
    <w:rsid w:val="006258BF"/>
    <w:rsid w:val="0066572D"/>
    <w:rsid w:val="006B7B85"/>
    <w:rsid w:val="00713CA0"/>
    <w:rsid w:val="007158A9"/>
    <w:rsid w:val="0077271F"/>
    <w:rsid w:val="007D063E"/>
    <w:rsid w:val="00803128"/>
    <w:rsid w:val="008933A5"/>
    <w:rsid w:val="008B559F"/>
    <w:rsid w:val="009666AD"/>
    <w:rsid w:val="009E2017"/>
    <w:rsid w:val="00A60188"/>
    <w:rsid w:val="00B41527"/>
    <w:rsid w:val="00B60AC4"/>
    <w:rsid w:val="00BA273B"/>
    <w:rsid w:val="00C57DE7"/>
    <w:rsid w:val="00C67A64"/>
    <w:rsid w:val="00C868FA"/>
    <w:rsid w:val="00CB25A9"/>
    <w:rsid w:val="00CF5F37"/>
    <w:rsid w:val="00D119CF"/>
    <w:rsid w:val="00D11DE3"/>
    <w:rsid w:val="00D95E0C"/>
    <w:rsid w:val="00DC5969"/>
    <w:rsid w:val="00E14B27"/>
    <w:rsid w:val="00E24C5D"/>
    <w:rsid w:val="00E3137D"/>
    <w:rsid w:val="00E769E8"/>
    <w:rsid w:val="00E97A92"/>
    <w:rsid w:val="00E97C71"/>
    <w:rsid w:val="00EB1784"/>
    <w:rsid w:val="00FC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72"/>
  </w:style>
  <w:style w:type="paragraph" w:styleId="1">
    <w:name w:val="heading 1"/>
    <w:basedOn w:val="a"/>
    <w:next w:val="a"/>
    <w:link w:val="10"/>
    <w:uiPriority w:val="99"/>
    <w:qFormat/>
    <w:rsid w:val="0077271F"/>
    <w:pPr>
      <w:keepNext/>
      <w:numPr>
        <w:numId w:val="8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1"/>
    <w:uiPriority w:val="99"/>
    <w:qFormat/>
    <w:rsid w:val="0077271F"/>
    <w:pPr>
      <w:numPr>
        <w:ilvl w:val="1"/>
        <w:numId w:val="8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191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qFormat/>
    <w:rsid w:val="00D11DE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11DE3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7"/>
    <w:uiPriority w:val="99"/>
    <w:rsid w:val="00E14B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1"/>
    <w:link w:val="a0"/>
    <w:uiPriority w:val="99"/>
    <w:rsid w:val="00E14B2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aliases w:val="Диссер"/>
    <w:basedOn w:val="a"/>
    <w:link w:val="a9"/>
    <w:uiPriority w:val="34"/>
    <w:qFormat/>
    <w:rsid w:val="00004F2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9">
    <w:name w:val="Абзац списка Знак"/>
    <w:aliases w:val="Диссер Знак"/>
    <w:basedOn w:val="a1"/>
    <w:link w:val="a8"/>
    <w:uiPriority w:val="34"/>
    <w:rsid w:val="00004F2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Hyperlink"/>
    <w:basedOn w:val="a1"/>
    <w:uiPriority w:val="99"/>
    <w:unhideWhenUsed/>
    <w:rsid w:val="00D119CF"/>
    <w:rPr>
      <w:color w:val="0000FF" w:themeColor="hyperlink"/>
      <w:u w:val="single"/>
    </w:rPr>
  </w:style>
  <w:style w:type="table" w:styleId="ab">
    <w:name w:val="Table Grid"/>
    <w:basedOn w:val="a2"/>
    <w:unhideWhenUsed/>
    <w:rsid w:val="00772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 таблиці"/>
    <w:basedOn w:val="a"/>
    <w:link w:val="ad"/>
    <w:qFormat/>
    <w:rsid w:val="0077271F"/>
    <w:pPr>
      <w:spacing w:after="0" w:line="360" w:lineRule="auto"/>
      <w:jc w:val="right"/>
    </w:pPr>
    <w:rPr>
      <w:rFonts w:ascii="Times New Roman" w:hAnsi="Times New Roman"/>
      <w:i/>
      <w:sz w:val="28"/>
      <w:lang w:val="uk-UA"/>
    </w:rPr>
  </w:style>
  <w:style w:type="character" w:customStyle="1" w:styleId="ad">
    <w:name w:val="Назва таблиці Знак"/>
    <w:basedOn w:val="a1"/>
    <w:link w:val="ac"/>
    <w:rsid w:val="0077271F"/>
    <w:rPr>
      <w:rFonts w:ascii="Times New Roman" w:hAnsi="Times New Roman"/>
      <w:i/>
      <w:sz w:val="28"/>
      <w:lang w:val="uk-UA"/>
    </w:rPr>
  </w:style>
  <w:style w:type="paragraph" w:styleId="ae">
    <w:name w:val="caption"/>
    <w:basedOn w:val="a"/>
    <w:next w:val="a"/>
    <w:uiPriority w:val="35"/>
    <w:unhideWhenUsed/>
    <w:qFormat/>
    <w:rsid w:val="0077271F"/>
    <w:pPr>
      <w:spacing w:line="240" w:lineRule="auto"/>
      <w:ind w:firstLine="709"/>
      <w:jc w:val="center"/>
    </w:pPr>
    <w:rPr>
      <w:rFonts w:ascii="Times New Roman" w:hAnsi="Times New Roman"/>
      <w:bCs/>
      <w:sz w:val="28"/>
      <w:szCs w:val="18"/>
      <w:lang w:val="uk-UA"/>
    </w:rPr>
  </w:style>
  <w:style w:type="character" w:customStyle="1" w:styleId="10">
    <w:name w:val="Заголовок 1 Знак"/>
    <w:basedOn w:val="a1"/>
    <w:link w:val="1"/>
    <w:uiPriority w:val="99"/>
    <w:rsid w:val="0077271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uiPriority w:val="9"/>
    <w:semiHidden/>
    <w:rsid w:val="00772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basedOn w:val="a1"/>
    <w:link w:val="2"/>
    <w:uiPriority w:val="99"/>
    <w:locked/>
    <w:rsid w:val="0077271F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hyperlink" Target="https://journal.iitta.gov.ua/index.php/itlt/article/view/398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hyperlink" Target="https://zakon.rada.gov.ua/laws/show/386-2013-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67-2018-%D1%80/sp:max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hyperlink" Target="https://lib.iitta.gov.ua/721612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7249</Words>
  <Characters>4132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</dc:creator>
  <cp:lastModifiedBy>Svetlana</cp:lastModifiedBy>
  <cp:revision>2</cp:revision>
  <dcterms:created xsi:type="dcterms:W3CDTF">2020-11-11T17:08:00Z</dcterms:created>
  <dcterms:modified xsi:type="dcterms:W3CDTF">2020-11-11T17:08:00Z</dcterms:modified>
</cp:coreProperties>
</file>