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F6" w:rsidRPr="001E0DE2" w:rsidRDefault="00C868FA" w:rsidP="002415C2">
      <w:pPr>
        <w:pStyle w:val="Default"/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57DE7">
        <w:rPr>
          <w:b/>
          <w:sz w:val="28"/>
          <w:szCs w:val="28"/>
          <w:lang w:val="uk-UA"/>
        </w:rPr>
        <w:t xml:space="preserve">РОЗВИТОК ІНФОРМАЦІЙНО-ДОСЛІДНИЦЬКОЇ КОМПЕТЕНТНОСТІ </w:t>
      </w:r>
      <w:r w:rsidR="00803128" w:rsidRPr="00C57DE7">
        <w:rPr>
          <w:b/>
          <w:sz w:val="28"/>
          <w:szCs w:val="28"/>
          <w:lang w:val="uk-UA"/>
        </w:rPr>
        <w:br/>
      </w:r>
      <w:r w:rsidRPr="00C57DE7">
        <w:rPr>
          <w:b/>
          <w:sz w:val="28"/>
          <w:szCs w:val="28"/>
          <w:lang w:val="uk-UA"/>
        </w:rPr>
        <w:t xml:space="preserve">НАУКОВЦІВ І ВИКЛАДАЧІВ </w:t>
      </w:r>
      <w:r w:rsidR="00C57DE7" w:rsidRPr="00C57DE7">
        <w:rPr>
          <w:b/>
          <w:sz w:val="28"/>
          <w:szCs w:val="28"/>
          <w:lang w:val="uk-UA"/>
        </w:rPr>
        <w:t>З ВИКОРИСТАННЯМ</w:t>
      </w:r>
      <w:r w:rsidR="00803128" w:rsidRPr="00C57DE7">
        <w:rPr>
          <w:b/>
          <w:sz w:val="28"/>
          <w:szCs w:val="28"/>
          <w:lang w:val="uk-UA"/>
        </w:rPr>
        <w:br/>
      </w:r>
      <w:r w:rsidRPr="00C57DE7">
        <w:rPr>
          <w:b/>
          <w:sz w:val="28"/>
          <w:szCs w:val="28"/>
          <w:lang w:val="uk-UA"/>
        </w:rPr>
        <w:t>ВІДКРИТИХ ЕЛЕКТРОННИХ НАУКОВО-ОСВІТНІХ СИ</w:t>
      </w:r>
      <w:r w:rsidRPr="001E0DE2">
        <w:rPr>
          <w:b/>
          <w:sz w:val="28"/>
          <w:szCs w:val="28"/>
        </w:rPr>
        <w:t>СТЕМ</w:t>
      </w:r>
    </w:p>
    <w:p w:rsidR="001917F6" w:rsidRPr="005D27CC" w:rsidRDefault="00C868FA" w:rsidP="002415C2">
      <w:pPr>
        <w:pStyle w:val="Default"/>
        <w:spacing w:line="276" w:lineRule="auto"/>
        <w:jc w:val="center"/>
        <w:rPr>
          <w:b/>
          <w:bCs/>
          <w:color w:val="auto"/>
          <w:lang w:val="uk-UA"/>
        </w:rPr>
      </w:pPr>
      <w:r w:rsidRPr="005D27CC">
        <w:rPr>
          <w:b/>
          <w:bCs/>
          <w:color w:val="auto"/>
          <w:lang w:val="uk-UA"/>
        </w:rPr>
        <w:t>Іванова С</w:t>
      </w:r>
      <w:r w:rsidR="001917F6" w:rsidRPr="005D27CC">
        <w:rPr>
          <w:b/>
          <w:bCs/>
          <w:color w:val="auto"/>
          <w:lang w:val="uk-UA"/>
        </w:rPr>
        <w:t>.</w:t>
      </w:r>
      <w:r w:rsidRPr="005D27CC">
        <w:rPr>
          <w:b/>
          <w:bCs/>
          <w:color w:val="auto"/>
          <w:lang w:val="uk-UA"/>
        </w:rPr>
        <w:t>М.</w:t>
      </w:r>
      <w:r w:rsidR="001917F6" w:rsidRPr="005D27CC">
        <w:rPr>
          <w:b/>
          <w:bCs/>
          <w:color w:val="auto"/>
          <w:lang w:val="uk-UA"/>
        </w:rPr>
        <w:t xml:space="preserve">, </w:t>
      </w:r>
      <w:r w:rsidRPr="005D27CC">
        <w:rPr>
          <w:b/>
          <w:bCs/>
          <w:color w:val="auto"/>
          <w:lang w:val="uk-UA"/>
        </w:rPr>
        <w:t>Дудко</w:t>
      </w:r>
      <w:r w:rsidR="00410A51" w:rsidRPr="005D27CC">
        <w:rPr>
          <w:b/>
          <w:bCs/>
          <w:color w:val="auto"/>
          <w:lang w:val="uk-UA"/>
        </w:rPr>
        <w:t xml:space="preserve"> </w:t>
      </w:r>
      <w:r w:rsidRPr="005D27CC">
        <w:rPr>
          <w:b/>
          <w:bCs/>
          <w:color w:val="auto"/>
          <w:lang w:val="uk-UA"/>
        </w:rPr>
        <w:t>А</w:t>
      </w:r>
      <w:r w:rsidR="00410A51" w:rsidRPr="005D27CC">
        <w:rPr>
          <w:b/>
          <w:bCs/>
          <w:color w:val="auto"/>
          <w:lang w:val="uk-UA"/>
        </w:rPr>
        <w:t xml:space="preserve">. </w:t>
      </w:r>
      <w:r w:rsidRPr="005D27CC">
        <w:rPr>
          <w:b/>
          <w:bCs/>
          <w:color w:val="auto"/>
          <w:lang w:val="uk-UA"/>
        </w:rPr>
        <w:t>Ф</w:t>
      </w:r>
      <w:r w:rsidR="001917F6" w:rsidRPr="005D27CC">
        <w:rPr>
          <w:b/>
          <w:bCs/>
          <w:color w:val="auto"/>
          <w:lang w:val="uk-UA"/>
        </w:rPr>
        <w:t>.</w:t>
      </w:r>
    </w:p>
    <w:p w:rsidR="001917F6" w:rsidRPr="005D27CC" w:rsidRDefault="00624026" w:rsidP="002415C2">
      <w:pPr>
        <w:pStyle w:val="Default"/>
        <w:spacing w:line="276" w:lineRule="auto"/>
        <w:jc w:val="center"/>
        <w:rPr>
          <w:bCs/>
          <w:i/>
          <w:iCs/>
          <w:lang w:val="uk-UA"/>
        </w:rPr>
      </w:pPr>
      <w:r w:rsidRPr="005D27CC">
        <w:rPr>
          <w:bCs/>
          <w:i/>
          <w:iCs/>
          <w:lang w:val="uk-UA"/>
        </w:rPr>
        <w:t>Інститут інформаційних технологій і засобів навчання НАПН України</w:t>
      </w:r>
      <w:r w:rsidR="001917F6" w:rsidRPr="005D27CC">
        <w:rPr>
          <w:bCs/>
          <w:i/>
          <w:iCs/>
          <w:lang w:val="uk-UA"/>
        </w:rPr>
        <w:t>, Київ</w:t>
      </w:r>
    </w:p>
    <w:p w:rsidR="00D95E0C" w:rsidRPr="002415C2" w:rsidRDefault="00D11DE3" w:rsidP="002415C2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415C2">
        <w:rPr>
          <w:rFonts w:ascii="Times New Roman" w:hAnsi="Times New Roman" w:cs="Times New Roman"/>
          <w:b/>
          <w:sz w:val="28"/>
          <w:szCs w:val="28"/>
          <w:lang w:val="uk-UA"/>
        </w:rPr>
        <w:t>Постановка та актуальність проблеми.</w:t>
      </w:r>
      <w:r w:rsidR="00E14B27" w:rsidRPr="002415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119CF" w:rsidRPr="002415C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«Стратегії розвитку інформаційного суспільства в Україні» [1] значущість українського сегмента </w:t>
      </w:r>
      <w:r w:rsidR="00107666" w:rsidRPr="002415C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Інтернету</w:t>
      </w:r>
      <w:r w:rsidR="00D119CF" w:rsidRPr="002415C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як одного з найважливіших інструментів розвитку інформаційного суспільства та конкурентоспроможності держави є пріоритетом, зокрема, декларується необхідність підвищення рівня інформаційної представленості України та вітчизняних інформаційних ресурсів в інтернет-просторі. У «Концепції розвитку цифрової економіки та суспільства України на 2018–2020 роки» [2] наголошується, що при системному державному підході цифрові технології будуть значно стимулювати розвиток відкритого інформаційного суспільства, підвищувати продуктивність, економічне зростання та якість життя громадян України. У свою чергу, створення українського контенту відповідно до національних або регіональних потреб, сприятиме інтеграції України до європейських і глобальних систем та інфраструктур. </w:t>
      </w:r>
    </w:p>
    <w:p w:rsidR="00D95E0C" w:rsidRPr="002415C2" w:rsidRDefault="00D95E0C" w:rsidP="002415C2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5C2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Відкриті електронні науково-освітні системи (ВЕНОС)</w:t>
      </w:r>
      <w:r w:rsidRPr="002415C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2415C2">
        <w:rPr>
          <w:rFonts w:ascii="Times New Roman" w:hAnsi="Times New Roman" w:cs="Times New Roman"/>
          <w:i/>
          <w:sz w:val="28"/>
          <w:szCs w:val="28"/>
          <w:lang w:val="uk-UA"/>
        </w:rPr>
        <w:t>автоматизован</w:t>
      </w:r>
      <w:r w:rsidR="00107666" w:rsidRPr="00107666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2415C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інформаційн</w:t>
      </w:r>
      <w:r w:rsidR="00107666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2415C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систем</w:t>
      </w:r>
      <w:r w:rsidR="00107666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2415C2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що містять дані переважно освітнього і наукового спрямування, забезпечують інформаційну підтримку освіти й науки та технологічно використовують комп’ютерну інформаційно-комунікаційну платформу для транспортування і опрацювання інформаційних об’єктів </w:t>
      </w:r>
      <w:r w:rsidRPr="002415C2">
        <w:rPr>
          <w:rFonts w:ascii="Times New Roman" w:hAnsi="Times New Roman" w:cs="Times New Roman"/>
          <w:sz w:val="28"/>
          <w:szCs w:val="28"/>
          <w:lang w:val="uk-UA" w:eastAsia="zh-CN"/>
        </w:rPr>
        <w:t>[</w:t>
      </w:r>
      <w:r w:rsidR="00D119CF" w:rsidRPr="002415C2">
        <w:rPr>
          <w:rFonts w:ascii="Times New Roman" w:hAnsi="Times New Roman" w:cs="Times New Roman"/>
          <w:sz w:val="28"/>
          <w:szCs w:val="28"/>
          <w:lang w:val="uk-UA" w:eastAsia="zh-CN"/>
        </w:rPr>
        <w:t>3</w:t>
      </w:r>
      <w:r w:rsidRPr="002415C2">
        <w:rPr>
          <w:rFonts w:ascii="Times New Roman" w:hAnsi="Times New Roman" w:cs="Times New Roman"/>
          <w:sz w:val="28"/>
          <w:szCs w:val="28"/>
          <w:lang w:val="uk-UA" w:eastAsia="zh-CN"/>
        </w:rPr>
        <w:t>]</w:t>
      </w:r>
      <w:r w:rsidRPr="002415C2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D95E0C" w:rsidRPr="002415C2" w:rsidRDefault="00D95E0C" w:rsidP="002415C2">
      <w:pPr>
        <w:pStyle w:val="a4"/>
        <w:shd w:val="clear" w:color="auto" w:fill="FFFFFF"/>
        <w:spacing w:before="0" w:after="0" w:line="276" w:lineRule="auto"/>
        <w:ind w:firstLine="567"/>
        <w:jc w:val="both"/>
        <w:rPr>
          <w:sz w:val="28"/>
          <w:szCs w:val="28"/>
          <w:lang w:val="uk-UA" w:eastAsia="zh-CN"/>
        </w:rPr>
      </w:pPr>
      <w:r w:rsidRPr="002415C2">
        <w:rPr>
          <w:sz w:val="28"/>
          <w:szCs w:val="28"/>
          <w:lang w:val="uk-UA" w:eastAsia="zh-CN"/>
        </w:rPr>
        <w:t xml:space="preserve">Для впровадження в освітню та наукову практику відповідних електронних систем і їхніх сервісів необхідно володіння науковими і науково-педагогічними працівниками відповідними </w:t>
      </w:r>
      <w:proofErr w:type="spellStart"/>
      <w:r w:rsidRPr="002415C2">
        <w:rPr>
          <w:sz w:val="28"/>
          <w:szCs w:val="28"/>
          <w:lang w:val="uk-UA" w:eastAsia="zh-CN"/>
        </w:rPr>
        <w:t>компетентностями</w:t>
      </w:r>
      <w:proofErr w:type="spellEnd"/>
      <w:r w:rsidRPr="002415C2">
        <w:rPr>
          <w:sz w:val="28"/>
          <w:szCs w:val="28"/>
          <w:lang w:val="uk-UA" w:eastAsia="zh-CN"/>
        </w:rPr>
        <w:t>, зокрема</w:t>
      </w:r>
      <w:r w:rsidRPr="002415C2">
        <w:rPr>
          <w:b/>
          <w:i/>
          <w:sz w:val="28"/>
          <w:szCs w:val="28"/>
          <w:lang w:val="uk-UA" w:eastAsia="zh-CN"/>
        </w:rPr>
        <w:t xml:space="preserve"> </w:t>
      </w:r>
      <w:r w:rsidRPr="002415C2">
        <w:rPr>
          <w:sz w:val="28"/>
          <w:szCs w:val="28"/>
          <w:lang w:val="uk-UA" w:eastAsia="zh-CN"/>
        </w:rPr>
        <w:t xml:space="preserve">інформаційно-дослідницькою. </w:t>
      </w:r>
    </w:p>
    <w:p w:rsidR="00D95E0C" w:rsidRPr="002415C2" w:rsidRDefault="00D95E0C" w:rsidP="002415C2">
      <w:pPr>
        <w:pStyle w:val="a4"/>
        <w:shd w:val="clear" w:color="auto" w:fill="FFFFFF"/>
        <w:spacing w:before="0" w:after="0" w:line="276" w:lineRule="auto"/>
        <w:ind w:firstLine="567"/>
        <w:jc w:val="both"/>
        <w:rPr>
          <w:sz w:val="28"/>
          <w:szCs w:val="28"/>
          <w:lang w:val="uk-UA" w:eastAsia="zh-CN"/>
        </w:rPr>
      </w:pPr>
      <w:r w:rsidRPr="002415C2">
        <w:rPr>
          <w:b/>
          <w:i/>
          <w:sz w:val="28"/>
          <w:szCs w:val="28"/>
          <w:lang w:val="uk-UA" w:eastAsia="zh-CN"/>
        </w:rPr>
        <w:t>Інформаційно-дослідницька компетентність (ІД компетентність)</w:t>
      </w:r>
      <w:r w:rsidRPr="002415C2">
        <w:rPr>
          <w:i/>
          <w:sz w:val="28"/>
          <w:szCs w:val="28"/>
          <w:lang w:val="uk-UA" w:eastAsia="zh-CN"/>
        </w:rPr>
        <w:t xml:space="preserve"> розуміється як здатність особистості на основі опанованих знань, умінь, навичок і набутого досвіду використовувати інформаційно-цифрові технології для організації, планування, проведення власних індивідуальних або спільних наукових досліджень, а також для оцінювання й впровадження їх результатів та здійснення моніторингу</w:t>
      </w:r>
      <w:r w:rsidRPr="002415C2">
        <w:rPr>
          <w:sz w:val="28"/>
          <w:szCs w:val="28"/>
          <w:lang w:val="uk-UA" w:eastAsia="zh-CN"/>
        </w:rPr>
        <w:t xml:space="preserve"> </w:t>
      </w:r>
      <w:r w:rsidRPr="002415C2">
        <w:rPr>
          <w:i/>
          <w:sz w:val="28"/>
          <w:szCs w:val="28"/>
          <w:lang w:val="uk-UA" w:eastAsia="zh-CN"/>
        </w:rPr>
        <w:t>такого впровадження</w:t>
      </w:r>
      <w:r w:rsidRPr="002415C2">
        <w:rPr>
          <w:sz w:val="28"/>
          <w:szCs w:val="28"/>
          <w:lang w:val="uk-UA" w:eastAsia="zh-CN"/>
        </w:rPr>
        <w:t xml:space="preserve"> [</w:t>
      </w:r>
      <w:r w:rsidR="006B7B85" w:rsidRPr="002415C2">
        <w:rPr>
          <w:sz w:val="28"/>
          <w:szCs w:val="28"/>
          <w:lang w:val="uk-UA" w:eastAsia="zh-CN"/>
        </w:rPr>
        <w:t>3</w:t>
      </w:r>
      <w:r w:rsidRPr="002415C2">
        <w:rPr>
          <w:sz w:val="28"/>
          <w:szCs w:val="28"/>
          <w:lang w:val="uk-UA" w:eastAsia="zh-CN"/>
        </w:rPr>
        <w:t xml:space="preserve">]. </w:t>
      </w:r>
    </w:p>
    <w:p w:rsidR="00004F21" w:rsidRPr="002415C2" w:rsidRDefault="00D95E0C" w:rsidP="002415C2">
      <w:pPr>
        <w:pStyle w:val="a4"/>
        <w:shd w:val="clear" w:color="auto" w:fill="FFFFFF"/>
        <w:spacing w:before="0" w:after="0" w:line="276" w:lineRule="auto"/>
        <w:ind w:firstLine="567"/>
        <w:jc w:val="both"/>
        <w:rPr>
          <w:sz w:val="28"/>
          <w:szCs w:val="28"/>
          <w:lang w:val="uk-UA"/>
        </w:rPr>
      </w:pPr>
      <w:r w:rsidRPr="002415C2">
        <w:rPr>
          <w:sz w:val="28"/>
          <w:szCs w:val="28"/>
          <w:lang w:val="uk-UA" w:eastAsia="zh-CN"/>
        </w:rPr>
        <w:t xml:space="preserve">Процес розвитку цієї компетентності передбачає набуття нового досвіду використання інформаційно-цифрових технологій шляхом цілеспрямованого навчання, підвищення кваліфікації, саморозвитку і самовдосконалення наукових і науково-педагогічних працівників, що може бути реалізоване у різноманітних формах, зокрема шляхом проведення семінарів, </w:t>
      </w:r>
      <w:proofErr w:type="spellStart"/>
      <w:r w:rsidRPr="002415C2">
        <w:rPr>
          <w:sz w:val="28"/>
          <w:szCs w:val="28"/>
          <w:lang w:val="uk-UA" w:eastAsia="zh-CN"/>
        </w:rPr>
        <w:t>вебінарів</w:t>
      </w:r>
      <w:proofErr w:type="spellEnd"/>
      <w:r w:rsidRPr="002415C2">
        <w:rPr>
          <w:sz w:val="28"/>
          <w:szCs w:val="28"/>
          <w:lang w:val="uk-UA" w:eastAsia="zh-CN"/>
        </w:rPr>
        <w:t>, круглих столів, практичних занять та ін. Звідси випливає потреба у організації освітнього процесу на базі спеціально розробленої методики, ефективність якої має бути перевірена педагогічним експериментом.</w:t>
      </w:r>
    </w:p>
    <w:p w:rsidR="00D11DE3" w:rsidRPr="002415C2" w:rsidRDefault="00D11DE3" w:rsidP="002415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66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Новизна і наукові здобутки автор</w:t>
      </w:r>
      <w:r w:rsidR="008933A5" w:rsidRPr="001076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ів </w:t>
      </w:r>
      <w:r w:rsidR="008933A5" w:rsidRPr="00107666">
        <w:rPr>
          <w:rFonts w:ascii="Times New Roman" w:hAnsi="Times New Roman" w:cs="Times New Roman"/>
          <w:sz w:val="28"/>
          <w:szCs w:val="28"/>
          <w:lang w:val="uk-UA"/>
        </w:rPr>
        <w:t>полягають у моделі та методики використання відкритих електронних науково-освітніх систем для розвитку ІД компетентності науковців</w:t>
      </w:r>
      <w:r w:rsidR="00107666" w:rsidRPr="00107666">
        <w:rPr>
          <w:rFonts w:ascii="Times New Roman" w:hAnsi="Times New Roman" w:cs="Times New Roman"/>
          <w:sz w:val="28"/>
          <w:szCs w:val="28"/>
          <w:lang w:val="uk-UA"/>
        </w:rPr>
        <w:t xml:space="preserve"> та проведення навчання на їх основі</w:t>
      </w:r>
      <w:r w:rsidR="008933A5" w:rsidRPr="001076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1DE3" w:rsidRPr="002415C2" w:rsidRDefault="00D11DE3" w:rsidP="002415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5C2">
        <w:rPr>
          <w:rFonts w:ascii="Times New Roman" w:hAnsi="Times New Roman" w:cs="Times New Roman"/>
          <w:b/>
          <w:sz w:val="28"/>
          <w:szCs w:val="28"/>
          <w:lang w:val="uk-UA"/>
        </w:rPr>
        <w:t>Завдання дослідження</w:t>
      </w:r>
      <w:r w:rsidR="00BA273B" w:rsidRPr="002415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полягало</w:t>
      </w:r>
      <w:r w:rsidR="00BA273B" w:rsidRPr="002415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37D" w:rsidRPr="002415C2">
        <w:rPr>
          <w:rFonts w:ascii="Times New Roman" w:hAnsi="Times New Roman" w:cs="Times New Roman"/>
          <w:sz w:val="28"/>
          <w:szCs w:val="28"/>
          <w:lang w:val="uk-UA"/>
        </w:rPr>
        <w:t xml:space="preserve">у перевірці ефективності </w:t>
      </w:r>
      <w:r w:rsidR="0066572D" w:rsidRPr="002415C2">
        <w:rPr>
          <w:rFonts w:ascii="Times New Roman" w:hAnsi="Times New Roman" w:cs="Times New Roman"/>
          <w:sz w:val="28"/>
          <w:szCs w:val="28"/>
          <w:lang w:val="uk-UA"/>
        </w:rPr>
        <w:t>авторської</w:t>
      </w:r>
      <w:r w:rsidR="00E3137D" w:rsidRPr="002415C2">
        <w:rPr>
          <w:rFonts w:ascii="Times New Roman" w:hAnsi="Times New Roman" w:cs="Times New Roman"/>
          <w:sz w:val="28"/>
          <w:szCs w:val="28"/>
          <w:lang w:val="uk-UA"/>
        </w:rPr>
        <w:t xml:space="preserve"> методики, що базується на використанні відкритих електронних науково-освітніх систем для підвищення рівня розвитку ІД компетентності наукових і науково-педагогічних працівників у процесі їхньої підготовки та підвищення кваліфікації.</w:t>
      </w:r>
    </w:p>
    <w:p w:rsidR="00E3137D" w:rsidRPr="002415C2" w:rsidRDefault="00D11DE3" w:rsidP="002415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5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дослідження. </w:t>
      </w:r>
      <w:r w:rsidR="00E3137D" w:rsidRPr="002415C2">
        <w:rPr>
          <w:rFonts w:ascii="Times New Roman" w:hAnsi="Times New Roman" w:cs="Times New Roman"/>
          <w:sz w:val="28"/>
          <w:szCs w:val="28"/>
          <w:lang w:val="uk-UA"/>
        </w:rPr>
        <w:t>Дослідження проводилось протягом 2019–2020 років. Експериментальною базою стали Вінницький державний педагогічний університет імені Михайла Коцюбинського, Навчально-науковий інститут Національного авіаційного університету, Житомирський державний університет імені Івана Франка та наукові установи НАПН України. У педагогічному експерименті взяло участь 142 респонденти, з них 71 увійшло в експериментальну групу (ЕГ) та 71 – у контрольну групу (КГ).</w:t>
      </w:r>
    </w:p>
    <w:p w:rsidR="00E3137D" w:rsidRPr="002415C2" w:rsidRDefault="00E3137D" w:rsidP="002415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5C2">
        <w:rPr>
          <w:rFonts w:ascii="Times New Roman" w:hAnsi="Times New Roman" w:cs="Times New Roman"/>
          <w:sz w:val="28"/>
          <w:szCs w:val="28"/>
          <w:lang w:val="uk-UA"/>
        </w:rPr>
        <w:t xml:space="preserve">У процесі педагогічного експерименту проводилось опрацювання даних, співставлення результатів дослідження, їх аналіз; опис ходу та проведення дослідження на основі методів статистичного опрацювання даних, узагальнення,  порівняння і оформлення результатів, отриманих на початок та кінець формувального етапу експерименту в КГ і ЕГ. На початку та в кінці формувального етапу у КГ та ЕГ було оцінено рівні розвитку ІД компетентності наукових і науково-педагогічних працівників за базовим, середнім та високим рівнями. З цією метою застосовувались методи анкетування та тестування. ЕГ проходила навчання, що здійснювалось відповідно до методики використання ВЕНОС для розвитку ІД компетентності наукових і науково-педагогічних працівників. </w:t>
      </w:r>
    </w:p>
    <w:p w:rsidR="00E3137D" w:rsidRPr="002415C2" w:rsidRDefault="00E3137D" w:rsidP="002415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5C2">
        <w:rPr>
          <w:rFonts w:ascii="Times New Roman" w:hAnsi="Times New Roman" w:cs="Times New Roman"/>
          <w:sz w:val="28"/>
          <w:szCs w:val="28"/>
          <w:lang w:val="uk-UA"/>
        </w:rPr>
        <w:t xml:space="preserve">На базі ІІТЗН НАПН України та в зазначених вище установах проводились тренінги, семінари, майстер-класи з питань наукометрії та використання </w:t>
      </w:r>
      <w:proofErr w:type="spellStart"/>
      <w:r w:rsidRPr="002415C2">
        <w:rPr>
          <w:rFonts w:ascii="Times New Roman" w:hAnsi="Times New Roman" w:cs="Times New Roman"/>
          <w:sz w:val="28"/>
          <w:szCs w:val="28"/>
          <w:lang w:val="uk-UA"/>
        </w:rPr>
        <w:t>ВЕНОС</w:t>
      </w:r>
      <w:proofErr w:type="spellEnd"/>
      <w:r w:rsidRPr="002415C2">
        <w:rPr>
          <w:rFonts w:ascii="Times New Roman" w:hAnsi="Times New Roman" w:cs="Times New Roman"/>
          <w:sz w:val="28"/>
          <w:szCs w:val="28"/>
          <w:lang w:val="uk-UA"/>
        </w:rPr>
        <w:t xml:space="preserve"> з метою розвитку ІД компетентності, наукових і науково-педагогічних працівників за розробленими авторами статті навчально-методичними матеріалами, які описано у роботі </w:t>
      </w:r>
      <w:r w:rsidR="00713CA0">
        <w:rPr>
          <w:rFonts w:ascii="Times New Roman" w:hAnsi="Times New Roman" w:cs="Times New Roman"/>
          <w:sz w:val="28"/>
          <w:szCs w:val="28"/>
          <w:lang w:val="uk-UA"/>
        </w:rPr>
        <w:t>[3</w:t>
      </w:r>
      <w:r w:rsidRPr="002415C2">
        <w:rPr>
          <w:rFonts w:ascii="Times New Roman" w:hAnsi="Times New Roman" w:cs="Times New Roman"/>
          <w:sz w:val="28"/>
          <w:szCs w:val="28"/>
          <w:lang w:val="uk-UA"/>
        </w:rPr>
        <w:t>, с. 314–316]. Поряд із цим наукові та науково-педагогічні працівники, які пройшли навчання в ЕГ, були підготовлені як тренери для колег.</w:t>
      </w:r>
    </w:p>
    <w:p w:rsidR="00D11DE3" w:rsidRPr="002415C2" w:rsidRDefault="00E3137D" w:rsidP="002415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5C2">
        <w:rPr>
          <w:rFonts w:ascii="Times New Roman" w:hAnsi="Times New Roman" w:cs="Times New Roman"/>
          <w:sz w:val="28"/>
          <w:szCs w:val="28"/>
          <w:lang w:val="uk-UA"/>
        </w:rPr>
        <w:t>Наукові і науково-педагогічні працівники, які виявили бажання проходити навчання традиційно, зокрема самостійно, увійшли до КГ. КГ було надано необхідні матеріали для самостійного опанування та підвищення кваліфікації.</w:t>
      </w:r>
    </w:p>
    <w:p w:rsidR="0077271F" w:rsidRPr="002415C2" w:rsidRDefault="000B57FB" w:rsidP="002415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5C2">
        <w:rPr>
          <w:rFonts w:ascii="Times New Roman" w:hAnsi="Times New Roman" w:cs="Times New Roman"/>
          <w:b/>
          <w:sz w:val="28"/>
          <w:szCs w:val="28"/>
          <w:lang w:val="uk-UA"/>
        </w:rPr>
        <w:t>Результати</w:t>
      </w:r>
      <w:r w:rsidR="0077271F" w:rsidRPr="002415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77271F" w:rsidRPr="002415C2">
        <w:rPr>
          <w:rFonts w:ascii="Times New Roman" w:hAnsi="Times New Roman" w:cs="Times New Roman"/>
          <w:sz w:val="28"/>
          <w:szCs w:val="28"/>
          <w:lang w:val="uk-UA"/>
        </w:rPr>
        <w:t>Для виявлення рівня розвитку ціннісно-мотиваційного компонента ІД компетентності було проведено анкетування (Анкета №1 «Ціннісно-мотиваційний компонент» [</w:t>
      </w:r>
      <w:r w:rsidR="002415C2" w:rsidRPr="002415C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7271F" w:rsidRPr="002415C2">
        <w:rPr>
          <w:rFonts w:ascii="Times New Roman" w:hAnsi="Times New Roman" w:cs="Times New Roman"/>
          <w:sz w:val="28"/>
          <w:szCs w:val="28"/>
          <w:lang w:val="uk-UA"/>
        </w:rPr>
        <w:t>]). Позитивна відповідь на одне завдання оцінювалась в 1 бал. Опрацювання отриманих результатів на початок та кінець формувального етапу педагогічного експерименту у КГ та ЕГ здійснювалося шляхом переведення абсолютних значень індивідуальних балів наукових і науково-педагогічних працівників у відносні за формулою (1):</w:t>
      </w:r>
    </w:p>
    <w:tbl>
      <w:tblPr>
        <w:tblStyle w:val="ab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8546"/>
        <w:gridCol w:w="1068"/>
      </w:tblGrid>
      <w:tr w:rsidR="0077271F" w:rsidRPr="002415C2" w:rsidTr="00BB3073">
        <w:trPr>
          <w:jc w:val="center"/>
        </w:trPr>
        <w:tc>
          <w:tcPr>
            <w:tcW w:w="500" w:type="pct"/>
            <w:vAlign w:val="center"/>
          </w:tcPr>
          <w:p w:rsidR="0077271F" w:rsidRPr="002415C2" w:rsidRDefault="0077271F" w:rsidP="002415C2">
            <w:pPr>
              <w:spacing w:line="276" w:lineRule="auto"/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000" w:type="pct"/>
            <w:vAlign w:val="center"/>
          </w:tcPr>
          <w:p w:rsidR="0077271F" w:rsidRPr="002415C2" w:rsidRDefault="0077271F" w:rsidP="00713CA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2415C2"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  <w:object w:dxaOrig="200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25pt;height:39.75pt" o:ole="">
                  <v:imagedata r:id="rId6" o:title=""/>
                </v:shape>
                <o:OLEObject Type="Embed" ProgID="Equation.DSMT4" ShapeID="_x0000_i1025" DrawAspect="Content" ObjectID="_1666626889" r:id="rId7"/>
              </w:object>
            </w:r>
            <w:r w:rsidRPr="002415C2">
              <w:rPr>
                <w:sz w:val="28"/>
                <w:szCs w:val="28"/>
                <w:lang w:val="uk-UA"/>
              </w:rPr>
              <w:t>,</w:t>
            </w:r>
          </w:p>
        </w:tc>
        <w:tc>
          <w:tcPr>
            <w:tcW w:w="500" w:type="pct"/>
            <w:vAlign w:val="center"/>
          </w:tcPr>
          <w:p w:rsidR="0077271F" w:rsidRPr="002415C2" w:rsidRDefault="0077271F" w:rsidP="00713CA0">
            <w:pPr>
              <w:spacing w:line="276" w:lineRule="auto"/>
              <w:ind w:firstLine="25"/>
              <w:jc w:val="both"/>
              <w:rPr>
                <w:sz w:val="28"/>
                <w:szCs w:val="28"/>
                <w:lang w:val="uk-UA"/>
              </w:rPr>
            </w:pPr>
            <w:r w:rsidRPr="002415C2">
              <w:rPr>
                <w:sz w:val="28"/>
                <w:szCs w:val="28"/>
                <w:lang w:val="uk-UA"/>
              </w:rPr>
              <w:t>(</w:t>
            </w:r>
            <w:r w:rsidR="00DC5969" w:rsidRPr="002415C2">
              <w:rPr>
                <w:sz w:val="28"/>
                <w:szCs w:val="28"/>
                <w:lang w:val="uk-UA"/>
              </w:rPr>
              <w:fldChar w:fldCharType="begin"/>
            </w:r>
            <w:r w:rsidRPr="002415C2">
              <w:rPr>
                <w:sz w:val="28"/>
                <w:szCs w:val="28"/>
                <w:lang w:val="uk-UA"/>
              </w:rPr>
              <w:instrText xml:space="preserve"> SEQ 4. \* ARABIC </w:instrText>
            </w:r>
            <w:r w:rsidR="00DC5969" w:rsidRPr="002415C2">
              <w:rPr>
                <w:sz w:val="28"/>
                <w:szCs w:val="28"/>
                <w:lang w:val="uk-UA"/>
              </w:rPr>
              <w:fldChar w:fldCharType="separate"/>
            </w:r>
            <w:r w:rsidRPr="002415C2">
              <w:rPr>
                <w:sz w:val="28"/>
                <w:szCs w:val="28"/>
                <w:lang w:val="uk-UA"/>
              </w:rPr>
              <w:t>1</w:t>
            </w:r>
            <w:r w:rsidR="00DC5969" w:rsidRPr="002415C2">
              <w:rPr>
                <w:sz w:val="28"/>
                <w:szCs w:val="28"/>
                <w:lang w:val="uk-UA"/>
              </w:rPr>
              <w:fldChar w:fldCharType="end"/>
            </w:r>
            <w:r w:rsidRPr="002415C2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77271F" w:rsidRPr="002415C2" w:rsidRDefault="0077271F" w:rsidP="002415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5C2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2415C2">
        <w:rPr>
          <w:rFonts w:ascii="Times New Roman" w:hAnsi="Times New Roman" w:cs="Times New Roman"/>
          <w:sz w:val="28"/>
          <w:szCs w:val="28"/>
          <w:lang w:val="uk-UA"/>
        </w:rPr>
        <w:object w:dxaOrig="340" w:dyaOrig="380">
          <v:shape id="_x0000_i1026" type="#_x0000_t75" style="width:17.25pt;height:18.75pt" o:ole="">
            <v:imagedata r:id="rId8" o:title=""/>
          </v:shape>
          <o:OLEObject Type="Embed" ProgID="Equation.DSMT4" ShapeID="_x0000_i1026" DrawAspect="Content" ObjectID="_1666626890" r:id="rId9"/>
        </w:object>
      </w:r>
      <w:r w:rsidRPr="002415C2">
        <w:rPr>
          <w:rFonts w:ascii="Times New Roman" w:hAnsi="Times New Roman" w:cs="Times New Roman"/>
          <w:sz w:val="28"/>
          <w:szCs w:val="28"/>
          <w:lang w:val="uk-UA"/>
        </w:rPr>
        <w:t xml:space="preserve"> – індивідуальний бал і-ого наукового/науково-педагогічного працівника за тест/анкету; </w:t>
      </w:r>
      <w:r w:rsidRPr="002415C2">
        <w:rPr>
          <w:rFonts w:ascii="Times New Roman" w:hAnsi="Times New Roman" w:cs="Times New Roman"/>
          <w:sz w:val="28"/>
          <w:szCs w:val="28"/>
          <w:lang w:val="uk-UA"/>
        </w:rPr>
        <w:object w:dxaOrig="340" w:dyaOrig="420">
          <v:shape id="_x0000_i1027" type="#_x0000_t75" style="width:17.25pt;height:22.5pt" o:ole="">
            <v:imagedata r:id="rId10" o:title=""/>
          </v:shape>
          <o:OLEObject Type="Embed" ProgID="Equation.DSMT4" ShapeID="_x0000_i1027" DrawAspect="Content" ObjectID="_1666626891" r:id="rId11"/>
        </w:object>
      </w:r>
      <w:r w:rsidRPr="002415C2">
        <w:rPr>
          <w:rFonts w:ascii="Times New Roman" w:hAnsi="Times New Roman" w:cs="Times New Roman"/>
          <w:sz w:val="28"/>
          <w:szCs w:val="28"/>
          <w:lang w:val="uk-UA"/>
        </w:rPr>
        <w:t xml:space="preserve"> – відносне значення індивідуального балу і-ого наукового/науково-педагогічного працівника за тест/анкету; </w:t>
      </w:r>
      <w:r w:rsidRPr="002415C2">
        <w:rPr>
          <w:rFonts w:ascii="Times New Roman" w:hAnsi="Times New Roman" w:cs="Times New Roman"/>
          <w:sz w:val="28"/>
          <w:szCs w:val="28"/>
          <w:lang w:val="uk-UA"/>
        </w:rPr>
        <w:object w:dxaOrig="580" w:dyaOrig="380">
          <v:shape id="_x0000_i1028" type="#_x0000_t75" style="width:30pt;height:18.75pt" o:ole="">
            <v:imagedata r:id="rId12" o:title=""/>
          </v:shape>
          <o:OLEObject Type="Embed" ProgID="Equation.DSMT4" ShapeID="_x0000_i1028" DrawAspect="Content" ObjectID="_1666626892" r:id="rId13"/>
        </w:object>
      </w:r>
      <w:r w:rsidRPr="002415C2">
        <w:rPr>
          <w:rFonts w:ascii="Times New Roman" w:hAnsi="Times New Roman" w:cs="Times New Roman"/>
          <w:sz w:val="28"/>
          <w:szCs w:val="28"/>
          <w:lang w:val="uk-UA"/>
        </w:rPr>
        <w:t xml:space="preserve"> – максимальне значення індивідуального балу за тест/анкету.</w:t>
      </w:r>
    </w:p>
    <w:p w:rsidR="0077271F" w:rsidRPr="002415C2" w:rsidRDefault="0077271F" w:rsidP="002415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5C2">
        <w:rPr>
          <w:rFonts w:ascii="Times New Roman" w:hAnsi="Times New Roman" w:cs="Times New Roman"/>
          <w:sz w:val="28"/>
          <w:szCs w:val="28"/>
          <w:lang w:val="uk-UA"/>
        </w:rPr>
        <w:t xml:space="preserve">Для визначення рівнів розвитку ціннісно-мотиваційного компонента ІД компетентності наукових і науково-педагогічних працівників здійснено порівняння отриманих даних з загальними оцінками рівнів розвитку компонентів ІД компетентності, що наведено у табл. </w:t>
      </w:r>
      <w:r w:rsidR="002415C2" w:rsidRPr="002415C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415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271F" w:rsidRPr="00713CA0" w:rsidRDefault="0077271F" w:rsidP="00713CA0">
      <w:pPr>
        <w:spacing w:after="0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1" w:name="_Ref512334422"/>
      <w:r w:rsidRPr="00713CA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Таблиця </w:t>
      </w:r>
      <w:bookmarkEnd w:id="1"/>
      <w:r w:rsidR="002415C2" w:rsidRPr="00713CA0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</w:p>
    <w:p w:rsidR="0077271F" w:rsidRPr="00713CA0" w:rsidRDefault="0077271F" w:rsidP="00713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13C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Загальні оцінки рівнів розвитку компонентів ІД компетентності наукових і </w:t>
      </w:r>
      <w:r w:rsidR="00107666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Pr="00713CA0">
        <w:rPr>
          <w:rFonts w:ascii="Times New Roman" w:hAnsi="Times New Roman" w:cs="Times New Roman"/>
          <w:b/>
          <w:sz w:val="24"/>
          <w:szCs w:val="24"/>
          <w:lang w:val="uk-UA"/>
        </w:rPr>
        <w:t>науково-педагогічних працівників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559"/>
        <w:gridCol w:w="2773"/>
      </w:tblGrid>
      <w:tr w:rsidR="0077271F" w:rsidRPr="00713CA0" w:rsidTr="00713CA0">
        <w:trPr>
          <w:jc w:val="center"/>
        </w:trPr>
        <w:tc>
          <w:tcPr>
            <w:tcW w:w="2559" w:type="dxa"/>
            <w:vAlign w:val="center"/>
          </w:tcPr>
          <w:p w:rsidR="0077271F" w:rsidRPr="00713CA0" w:rsidRDefault="0077271F" w:rsidP="002415C2">
            <w:pPr>
              <w:spacing w:line="276" w:lineRule="auto"/>
              <w:ind w:firstLine="567"/>
              <w:jc w:val="both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713CA0">
              <w:rPr>
                <w:rFonts w:eastAsiaTheme="minorHAnsi"/>
                <w:b/>
                <w:sz w:val="28"/>
                <w:szCs w:val="28"/>
                <w:lang w:val="uk-UA" w:eastAsia="en-US"/>
              </w:rPr>
              <w:t>Рівень</w:t>
            </w:r>
          </w:p>
        </w:tc>
        <w:tc>
          <w:tcPr>
            <w:tcW w:w="2773" w:type="dxa"/>
            <w:vAlign w:val="center"/>
          </w:tcPr>
          <w:p w:rsidR="0077271F" w:rsidRPr="00713CA0" w:rsidRDefault="0077271F" w:rsidP="002415C2">
            <w:pPr>
              <w:spacing w:line="276" w:lineRule="auto"/>
              <w:ind w:firstLine="567"/>
              <w:jc w:val="both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713CA0">
              <w:rPr>
                <w:rFonts w:eastAsiaTheme="minorHAnsi"/>
                <w:b/>
                <w:sz w:val="28"/>
                <w:szCs w:val="28"/>
                <w:lang w:val="uk-UA" w:eastAsia="en-US"/>
              </w:rPr>
              <w:t>Показник</w:t>
            </w:r>
          </w:p>
        </w:tc>
      </w:tr>
      <w:tr w:rsidR="0077271F" w:rsidRPr="002415C2" w:rsidTr="00713CA0">
        <w:trPr>
          <w:jc w:val="center"/>
        </w:trPr>
        <w:tc>
          <w:tcPr>
            <w:tcW w:w="2559" w:type="dxa"/>
            <w:vAlign w:val="center"/>
          </w:tcPr>
          <w:p w:rsidR="0077271F" w:rsidRPr="002415C2" w:rsidRDefault="0077271F" w:rsidP="002415C2">
            <w:pPr>
              <w:spacing w:line="276" w:lineRule="auto"/>
              <w:ind w:firstLine="567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415C2">
              <w:rPr>
                <w:rFonts w:eastAsiaTheme="minorHAnsi"/>
                <w:sz w:val="28"/>
                <w:szCs w:val="28"/>
                <w:lang w:val="uk-UA" w:eastAsia="en-US"/>
              </w:rPr>
              <w:t>Базовий</w:t>
            </w:r>
          </w:p>
        </w:tc>
        <w:tc>
          <w:tcPr>
            <w:tcW w:w="2773" w:type="dxa"/>
            <w:vAlign w:val="center"/>
          </w:tcPr>
          <w:p w:rsidR="0077271F" w:rsidRPr="002415C2" w:rsidRDefault="0077271F" w:rsidP="002415C2">
            <w:pPr>
              <w:spacing w:line="276" w:lineRule="auto"/>
              <w:ind w:firstLine="567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415C2">
              <w:rPr>
                <w:rFonts w:eastAsiaTheme="minorHAnsi"/>
                <w:sz w:val="28"/>
                <w:szCs w:val="28"/>
                <w:lang w:val="uk-UA" w:eastAsia="en-US"/>
              </w:rPr>
              <w:t>30–50%</w:t>
            </w:r>
          </w:p>
        </w:tc>
      </w:tr>
      <w:tr w:rsidR="0077271F" w:rsidRPr="002415C2" w:rsidTr="00713CA0">
        <w:trPr>
          <w:jc w:val="center"/>
        </w:trPr>
        <w:tc>
          <w:tcPr>
            <w:tcW w:w="2559" w:type="dxa"/>
            <w:vAlign w:val="center"/>
          </w:tcPr>
          <w:p w:rsidR="0077271F" w:rsidRPr="002415C2" w:rsidRDefault="0077271F" w:rsidP="002415C2">
            <w:pPr>
              <w:spacing w:line="276" w:lineRule="auto"/>
              <w:ind w:firstLine="567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415C2">
              <w:rPr>
                <w:rFonts w:eastAsiaTheme="minorHAnsi"/>
                <w:sz w:val="28"/>
                <w:szCs w:val="28"/>
                <w:lang w:val="uk-UA" w:eastAsia="en-US"/>
              </w:rPr>
              <w:t>Середній</w:t>
            </w:r>
          </w:p>
        </w:tc>
        <w:tc>
          <w:tcPr>
            <w:tcW w:w="2773" w:type="dxa"/>
            <w:vAlign w:val="center"/>
          </w:tcPr>
          <w:p w:rsidR="0077271F" w:rsidRPr="002415C2" w:rsidRDefault="0077271F" w:rsidP="002415C2">
            <w:pPr>
              <w:spacing w:line="276" w:lineRule="auto"/>
              <w:ind w:firstLine="567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415C2">
              <w:rPr>
                <w:rFonts w:eastAsiaTheme="minorHAnsi"/>
                <w:sz w:val="28"/>
                <w:szCs w:val="28"/>
                <w:lang w:val="uk-UA" w:eastAsia="en-US"/>
              </w:rPr>
              <w:t>51–75%</w:t>
            </w:r>
          </w:p>
        </w:tc>
      </w:tr>
      <w:tr w:rsidR="0077271F" w:rsidRPr="002415C2" w:rsidTr="00713CA0">
        <w:trPr>
          <w:jc w:val="center"/>
        </w:trPr>
        <w:tc>
          <w:tcPr>
            <w:tcW w:w="2559" w:type="dxa"/>
            <w:vAlign w:val="center"/>
          </w:tcPr>
          <w:p w:rsidR="0077271F" w:rsidRPr="002415C2" w:rsidRDefault="0077271F" w:rsidP="002415C2">
            <w:pPr>
              <w:spacing w:line="276" w:lineRule="auto"/>
              <w:ind w:firstLine="567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415C2">
              <w:rPr>
                <w:rFonts w:eastAsiaTheme="minorHAnsi"/>
                <w:sz w:val="28"/>
                <w:szCs w:val="28"/>
                <w:lang w:val="uk-UA" w:eastAsia="en-US"/>
              </w:rPr>
              <w:t>Високий</w:t>
            </w:r>
          </w:p>
        </w:tc>
        <w:tc>
          <w:tcPr>
            <w:tcW w:w="2773" w:type="dxa"/>
            <w:vAlign w:val="center"/>
          </w:tcPr>
          <w:p w:rsidR="0077271F" w:rsidRPr="002415C2" w:rsidRDefault="0077271F" w:rsidP="002415C2">
            <w:pPr>
              <w:spacing w:line="276" w:lineRule="auto"/>
              <w:ind w:firstLine="567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415C2">
              <w:rPr>
                <w:rFonts w:eastAsiaTheme="minorHAnsi"/>
                <w:sz w:val="28"/>
                <w:szCs w:val="28"/>
                <w:lang w:val="uk-UA" w:eastAsia="en-US"/>
              </w:rPr>
              <w:t>76–100%</w:t>
            </w:r>
          </w:p>
        </w:tc>
      </w:tr>
    </w:tbl>
    <w:p w:rsidR="0077271F" w:rsidRPr="002415C2" w:rsidRDefault="0077271F" w:rsidP="002415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5C2">
        <w:rPr>
          <w:rFonts w:ascii="Times New Roman" w:hAnsi="Times New Roman" w:cs="Times New Roman"/>
          <w:sz w:val="28"/>
          <w:szCs w:val="28"/>
          <w:lang w:val="uk-UA"/>
        </w:rPr>
        <w:t xml:space="preserve">Значення на початок та кінець етапу педагогічного експерименту у КГ та ЕГ отримано як середні арифметичні відносних значень індивідуальних балів наукових і науково-педагогічних працівників відповідно у КГ та ЕГ. </w:t>
      </w:r>
    </w:p>
    <w:p w:rsidR="0077271F" w:rsidRPr="002415C2" w:rsidRDefault="0077271F" w:rsidP="002415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5C2">
        <w:rPr>
          <w:rFonts w:ascii="Times New Roman" w:hAnsi="Times New Roman" w:cs="Times New Roman"/>
          <w:sz w:val="28"/>
          <w:szCs w:val="28"/>
          <w:lang w:val="uk-UA"/>
        </w:rPr>
        <w:t>Аналіз результатів педагогічного експерименту дозволив дійти висновку: на початок педагогічного експерименту рівень розвитку ціннісно-мотиваційного компонента ІД компетентності у КГ становив 21 %, у ЕГ 24 % і знаходився нижче базового рівня (&lt;30%), а на кінець педагогічного експерименту у КГ групи рівень розвитку ціннісно-мотиваційного компонента ІД компетентності зріс до 49% базового рівня (30–50%), а у ЕГ – до 75 % (51–75%) середнього рівня. Динаміка змін між рівнями розвитку ціннісно-мотиваційного компонента на 23 % вище у ЕГ, ніж у КГ.</w:t>
      </w:r>
    </w:p>
    <w:p w:rsidR="0077271F" w:rsidRPr="002415C2" w:rsidRDefault="0077271F" w:rsidP="002415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5C2">
        <w:rPr>
          <w:rFonts w:ascii="Times New Roman" w:hAnsi="Times New Roman" w:cs="Times New Roman"/>
          <w:sz w:val="28"/>
          <w:szCs w:val="28"/>
          <w:lang w:val="uk-UA"/>
        </w:rPr>
        <w:t>Здійснення педагогічних впливів у процесі цілеспрямованого навчання на розвиток ціннісно-мотиваційного компонента ІД компетентності наукових і науково-педагогічних працівників формує усвідомлення потреби використання ВЕНОС у професійній діяльності науковця та стимулює зростання зацікавленості в отриманні актуальних, додаткових відомостей щодо можливостей їх використання, створює емоційну готовність до систематичного використання ВЕНОС у процесі проведення науково-педагогічних досліджень.</w:t>
      </w:r>
    </w:p>
    <w:p w:rsidR="0077271F" w:rsidRPr="002415C2" w:rsidRDefault="0077271F" w:rsidP="002415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5C2">
        <w:rPr>
          <w:rFonts w:ascii="Times New Roman" w:hAnsi="Times New Roman" w:cs="Times New Roman"/>
          <w:sz w:val="28"/>
          <w:szCs w:val="28"/>
          <w:lang w:val="uk-UA"/>
        </w:rPr>
        <w:t>Опрацювання інших компонентів ІД компетентності наукових і науково-педагогічних працівників проводилось аналогічно</w:t>
      </w:r>
      <w:r w:rsidR="002415C2" w:rsidRPr="002415C2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Тестового завдання №1 «Когнітивний компонент» [4], Тестового завдання №2 «Операційно-діяльнісний компонент» [4] та Тестового завдання №3 «Дослідницький компонент» [4]</w:t>
      </w:r>
      <w:r w:rsidRPr="002415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271F" w:rsidRPr="002415C2" w:rsidRDefault="0077271F" w:rsidP="002415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5C2">
        <w:rPr>
          <w:rFonts w:ascii="Times New Roman" w:hAnsi="Times New Roman" w:cs="Times New Roman"/>
          <w:sz w:val="28"/>
          <w:szCs w:val="28"/>
          <w:lang w:val="uk-UA"/>
        </w:rPr>
        <w:t xml:space="preserve">Після опрацювання складових ІД компетентності наукових і науково-педагогічних працівників (ціннісно-мотиваційного, когнітивного, </w:t>
      </w:r>
      <w:proofErr w:type="spellStart"/>
      <w:r w:rsidRPr="002415C2">
        <w:rPr>
          <w:rFonts w:ascii="Times New Roman" w:hAnsi="Times New Roman" w:cs="Times New Roman"/>
          <w:sz w:val="28"/>
          <w:szCs w:val="28"/>
          <w:lang w:val="uk-UA"/>
        </w:rPr>
        <w:t>операційно-</w:t>
      </w:r>
      <w:r w:rsidRPr="002415C2">
        <w:rPr>
          <w:rFonts w:ascii="Times New Roman" w:hAnsi="Times New Roman" w:cs="Times New Roman"/>
          <w:sz w:val="28"/>
          <w:szCs w:val="28"/>
          <w:lang w:val="uk-UA"/>
        </w:rPr>
        <w:lastRenderedPageBreak/>
        <w:t>діяльнісного</w:t>
      </w:r>
      <w:proofErr w:type="spellEnd"/>
      <w:r w:rsidRPr="002415C2">
        <w:rPr>
          <w:rFonts w:ascii="Times New Roman" w:hAnsi="Times New Roman" w:cs="Times New Roman"/>
          <w:sz w:val="28"/>
          <w:szCs w:val="28"/>
          <w:lang w:val="uk-UA"/>
        </w:rPr>
        <w:t xml:space="preserve"> та дослідницького) значення ІД компетентності у цілому визначалося як середнє арифметичне від відповідних значень її складових.</w:t>
      </w:r>
    </w:p>
    <w:p w:rsidR="0077271F" w:rsidRPr="002415C2" w:rsidRDefault="0077271F" w:rsidP="002415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5C2">
        <w:rPr>
          <w:rFonts w:ascii="Times New Roman" w:hAnsi="Times New Roman" w:cs="Times New Roman"/>
          <w:sz w:val="28"/>
          <w:szCs w:val="28"/>
          <w:lang w:val="uk-UA"/>
        </w:rPr>
        <w:t>Аналіз результатів педагогічного експерименту щодо всіх складових ІД компетентності наукових і науково-педагогічних працівників дозволив зробити висновок: на початок педагогічного експерименту рівень розвитку ІД компетентності наукових і науково-педагогічних працівників в КГ становив 25%, а у ЕГ 28 %, що нижче базового рівня (&lt;30%), а на кінець педагогічного експерименту в КГ рівень ІД компетентності збільшився до 56%, що відповідає середньому рівню (51–75 %), а у ЕГ – до 83 %, що відповідає високому рівню (75–100 %). Динаміка змін між рівнями розвитку ІД компетентності на 23 % вище у ЕГ, ніж у КГ. Аналіз результатів педагогічного експерименту дав змогу виявити, що найвищі показники рівня розвитку ІД компетентності отримали когнітивна та дослідницька складові ІД компетентності наукових і науково-педагогічних працівників.</w:t>
      </w:r>
    </w:p>
    <w:p w:rsidR="0077271F" w:rsidRPr="002415C2" w:rsidRDefault="0077271F" w:rsidP="002415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5C2">
        <w:rPr>
          <w:rFonts w:ascii="Times New Roman" w:hAnsi="Times New Roman" w:cs="Times New Roman"/>
          <w:sz w:val="28"/>
          <w:szCs w:val="28"/>
          <w:lang w:val="uk-UA"/>
        </w:rPr>
        <w:t xml:space="preserve">Для оцінювання достовірності відмінності двох вибірок в дослідженні було обрано метод Фішера (або </w:t>
      </w:r>
      <w:r w:rsidRPr="002415C2">
        <w:rPr>
          <w:rFonts w:ascii="Times New Roman" w:hAnsi="Times New Roman" w:cs="Times New Roman"/>
          <w:sz w:val="28"/>
          <w:szCs w:val="28"/>
        </w:rPr>
        <w:object w:dxaOrig="320" w:dyaOrig="400">
          <v:shape id="_x0000_i1029" type="#_x0000_t75" style="width:17.25pt;height:19.5pt" o:ole="">
            <v:imagedata r:id="rId14" o:title=""/>
          </v:shape>
          <o:OLEObject Type="Embed" ProgID="Equation.DSMT4" ShapeID="_x0000_i1029" DrawAspect="Content" ObjectID="_1666626893" r:id="rId15"/>
        </w:object>
      </w:r>
      <w:r w:rsidRPr="002415C2">
        <w:rPr>
          <w:rFonts w:ascii="Times New Roman" w:hAnsi="Times New Roman" w:cs="Times New Roman"/>
          <w:sz w:val="28"/>
          <w:szCs w:val="28"/>
          <w:lang w:val="uk-UA"/>
        </w:rPr>
        <w:t>– критерій) [</w:t>
      </w:r>
      <w:r w:rsidR="00CF5F37" w:rsidRPr="002415C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415C2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r w:rsidRPr="001E0DE2">
        <w:rPr>
          <w:rFonts w:ascii="Times New Roman" w:hAnsi="Times New Roman" w:cs="Times New Roman"/>
          <w:sz w:val="28"/>
          <w:szCs w:val="28"/>
          <w:lang w:val="uk-UA"/>
        </w:rPr>
        <w:t xml:space="preserve">Спочатку було перевірено достовірність гіпотези щодо відсутності відмінностей між рівнями розвитку ІД компетентності ЕГ та КГ </w:t>
      </w:r>
      <w:r w:rsidRPr="001E0DE2">
        <w:rPr>
          <w:rFonts w:ascii="Times New Roman" w:hAnsi="Times New Roman" w:cs="Times New Roman"/>
          <w:i/>
          <w:sz w:val="28"/>
          <w:szCs w:val="28"/>
          <w:lang w:val="uk-UA"/>
        </w:rPr>
        <w:t>до</w:t>
      </w:r>
      <w:r w:rsidRPr="001E0DE2">
        <w:rPr>
          <w:rFonts w:ascii="Times New Roman" w:hAnsi="Times New Roman" w:cs="Times New Roman"/>
          <w:sz w:val="28"/>
          <w:szCs w:val="28"/>
          <w:lang w:val="uk-UA"/>
        </w:rPr>
        <w:t xml:space="preserve"> проходження навчання. Також за критерієм Фішера було перевірено достовірність гіпотези щодо наявності відмінностей між рівнями ІД компетентності ЕГ і КГ за результатами кінцевого зрізу. </w:t>
      </w:r>
    </w:p>
    <w:p w:rsidR="002415C2" w:rsidRDefault="00D11DE3" w:rsidP="002415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5C2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r w:rsidRPr="002415C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415C2">
        <w:rPr>
          <w:sz w:val="28"/>
          <w:szCs w:val="28"/>
        </w:rPr>
        <w:t xml:space="preserve"> </w:t>
      </w:r>
      <w:r w:rsidR="002415C2" w:rsidRPr="002415C2">
        <w:rPr>
          <w:rFonts w:ascii="Times New Roman" w:hAnsi="Times New Roman" w:cs="Times New Roman"/>
          <w:sz w:val="28"/>
          <w:szCs w:val="28"/>
          <w:lang w:val="uk-UA"/>
        </w:rPr>
        <w:t xml:space="preserve">Після аналізу </w:t>
      </w:r>
      <w:r w:rsidR="002415C2">
        <w:rPr>
          <w:rFonts w:ascii="Times New Roman" w:hAnsi="Times New Roman" w:cs="Times New Roman"/>
          <w:sz w:val="28"/>
          <w:szCs w:val="28"/>
          <w:lang w:val="uk-UA"/>
        </w:rPr>
        <w:t xml:space="preserve">отриманих даних </w:t>
      </w:r>
      <w:r w:rsidR="002415C2" w:rsidRPr="002415C2">
        <w:rPr>
          <w:rFonts w:ascii="Times New Roman" w:hAnsi="Times New Roman" w:cs="Times New Roman"/>
          <w:sz w:val="28"/>
          <w:szCs w:val="28"/>
          <w:lang w:val="uk-UA"/>
        </w:rPr>
        <w:t xml:space="preserve">робимо висновок, що на початку педагогічного експерименту ІД компетентність наукових і науково-педагогічних працівників в КГ та ЕГ була нижче базового рівня, а на кінець педагогічного експерименту у КГ рівень ІД компетентності зріс до середнього, а у ЕГ – до високого. Таким чином, можна зробити висновок, що використання запропонованої методики позитивно впливає на динаміку рівнів розвитку ІД компетентності. </w:t>
      </w:r>
    </w:p>
    <w:p w:rsidR="00A60188" w:rsidRDefault="00A60188" w:rsidP="002415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0188" w:rsidRPr="00A60188" w:rsidRDefault="00A60188" w:rsidP="00A6018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60188">
        <w:rPr>
          <w:rFonts w:ascii="Times New Roman" w:hAnsi="Times New Roman" w:cs="Times New Roman"/>
          <w:b/>
          <w:sz w:val="24"/>
          <w:szCs w:val="24"/>
          <w:lang w:val="uk-UA"/>
        </w:rPr>
        <w:t>Список  використаних  джерел</w:t>
      </w:r>
    </w:p>
    <w:p w:rsidR="00D119CF" w:rsidRPr="0028043E" w:rsidRDefault="00D119CF" w:rsidP="002415C2">
      <w:pPr>
        <w:pStyle w:val="a8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i/>
        </w:rPr>
      </w:pPr>
      <w:r w:rsidRPr="0028043E">
        <w:rPr>
          <w:i/>
        </w:rPr>
        <w:t>Кабінет міністрів України. Концепція 67-р</w:t>
      </w:r>
      <w:r w:rsidR="00A60188" w:rsidRPr="0028043E">
        <w:rPr>
          <w:i/>
        </w:rPr>
        <w:t>.</w:t>
      </w:r>
      <w:r w:rsidRPr="0028043E">
        <w:rPr>
          <w:i/>
        </w:rPr>
        <w:t xml:space="preserve"> Про схвалення Концепції розвитку цифрової економіки</w:t>
      </w:r>
      <w:r w:rsidR="00A60188" w:rsidRPr="0028043E">
        <w:rPr>
          <w:i/>
        </w:rPr>
        <w:t xml:space="preserve"> та суспільства України на 2018-</w:t>
      </w:r>
      <w:r w:rsidRPr="0028043E">
        <w:rPr>
          <w:i/>
        </w:rPr>
        <w:t xml:space="preserve">2020 роки та затвердження плану заходів щодо її реалізації. </w:t>
      </w:r>
      <w:r w:rsidR="00A60188" w:rsidRPr="0028043E">
        <w:rPr>
          <w:i/>
        </w:rPr>
        <w:t xml:space="preserve">(2018, Січ. 17). </w:t>
      </w:r>
      <w:r w:rsidR="00A60188" w:rsidRPr="0028043E">
        <w:rPr>
          <w:rFonts w:eastAsia="Calibri"/>
          <w:i/>
          <w:spacing w:val="-6"/>
          <w:lang w:eastAsia="en-US"/>
        </w:rPr>
        <w:t>URL</w:t>
      </w:r>
      <w:r w:rsidR="00A60188" w:rsidRPr="0028043E">
        <w:rPr>
          <w:rFonts w:eastAsia="Calibri"/>
          <w:i/>
          <w:spacing w:val="-6"/>
          <w:lang w:val="en-US" w:eastAsia="en-US"/>
        </w:rPr>
        <w:t> </w:t>
      </w:r>
      <w:r w:rsidR="00A60188" w:rsidRPr="0028043E">
        <w:rPr>
          <w:i/>
          <w:shd w:val="clear" w:color="auto" w:fill="FFFFFF"/>
          <w:lang w:eastAsia="ru-RU"/>
        </w:rPr>
        <w:t>:</w:t>
      </w:r>
      <w:r w:rsidR="00A60188" w:rsidRPr="0028043E">
        <w:rPr>
          <w:i/>
        </w:rPr>
        <w:t xml:space="preserve"> </w:t>
      </w:r>
      <w:hyperlink r:id="rId16" w:history="1">
        <w:r w:rsidRPr="0028043E">
          <w:rPr>
            <w:i/>
          </w:rPr>
          <w:t>https://zakon.rada.gov.ua/laws/show/67-2018-%D1%80/sp:max10</w:t>
        </w:r>
      </w:hyperlink>
      <w:r w:rsidRPr="0028043E">
        <w:rPr>
          <w:i/>
        </w:rPr>
        <w:t>.</w:t>
      </w:r>
    </w:p>
    <w:p w:rsidR="00D119CF" w:rsidRPr="0028043E" w:rsidRDefault="00D119CF" w:rsidP="002415C2">
      <w:pPr>
        <w:pStyle w:val="a8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i/>
        </w:rPr>
      </w:pPr>
      <w:r w:rsidRPr="0028043E">
        <w:rPr>
          <w:i/>
        </w:rPr>
        <w:t xml:space="preserve">Кабінет Міністрів України. </w:t>
      </w:r>
      <w:r w:rsidR="00A60188" w:rsidRPr="0028043E">
        <w:rPr>
          <w:i/>
        </w:rPr>
        <w:t xml:space="preserve">Стратегія № 386. </w:t>
      </w:r>
      <w:r w:rsidRPr="0028043E">
        <w:rPr>
          <w:i/>
        </w:rPr>
        <w:t xml:space="preserve">Про схвалення Стратегії розвитку інформаційного суспільства в Україні. </w:t>
      </w:r>
      <w:r w:rsidR="00A60188" w:rsidRPr="0028043E">
        <w:rPr>
          <w:i/>
        </w:rPr>
        <w:t xml:space="preserve">(2013, Трав. 15). </w:t>
      </w:r>
      <w:proofErr w:type="spellStart"/>
      <w:r w:rsidR="00A60188" w:rsidRPr="0028043E">
        <w:rPr>
          <w:rFonts w:eastAsia="Calibri"/>
          <w:i/>
          <w:spacing w:val="-6"/>
          <w:lang w:eastAsia="en-US"/>
        </w:rPr>
        <w:t>URL</w:t>
      </w:r>
      <w:proofErr w:type="spellEnd"/>
      <w:r w:rsidR="00A60188" w:rsidRPr="0028043E">
        <w:rPr>
          <w:i/>
          <w:shd w:val="clear" w:color="auto" w:fill="FFFFFF"/>
          <w:lang w:eastAsia="ru-RU"/>
        </w:rPr>
        <w:t>:</w:t>
      </w:r>
      <w:r w:rsidR="00C67A64">
        <w:rPr>
          <w:i/>
        </w:rPr>
        <w:t xml:space="preserve"> </w:t>
      </w:r>
      <w:hyperlink r:id="rId17" w:anchor="n8" w:history="1">
        <w:proofErr w:type="spellStart"/>
        <w:r w:rsidRPr="0028043E">
          <w:rPr>
            <w:i/>
          </w:rPr>
          <w:t>https</w:t>
        </w:r>
        <w:proofErr w:type="spellEnd"/>
        <w:r w:rsidRPr="0028043E">
          <w:rPr>
            <w:i/>
          </w:rPr>
          <w:t>://</w:t>
        </w:r>
        <w:proofErr w:type="spellStart"/>
        <w:r w:rsidRPr="0028043E">
          <w:rPr>
            <w:i/>
          </w:rPr>
          <w:t>zakon.rada.gov.ua</w:t>
        </w:r>
        <w:proofErr w:type="spellEnd"/>
        <w:r w:rsidRPr="0028043E">
          <w:rPr>
            <w:i/>
          </w:rPr>
          <w:t>/</w:t>
        </w:r>
        <w:proofErr w:type="spellStart"/>
        <w:r w:rsidRPr="0028043E">
          <w:rPr>
            <w:i/>
          </w:rPr>
          <w:t>laws</w:t>
        </w:r>
        <w:proofErr w:type="spellEnd"/>
        <w:r w:rsidRPr="0028043E">
          <w:rPr>
            <w:i/>
          </w:rPr>
          <w:t>/</w:t>
        </w:r>
        <w:proofErr w:type="spellStart"/>
        <w:r w:rsidRPr="0028043E">
          <w:rPr>
            <w:i/>
          </w:rPr>
          <w:t>show</w:t>
        </w:r>
        <w:proofErr w:type="spellEnd"/>
        <w:r w:rsidRPr="0028043E">
          <w:rPr>
            <w:i/>
          </w:rPr>
          <w:t>/386-2013-%D1%80#n8</w:t>
        </w:r>
      </w:hyperlink>
      <w:r w:rsidRPr="0028043E">
        <w:rPr>
          <w:i/>
        </w:rPr>
        <w:t>.</w:t>
      </w:r>
    </w:p>
    <w:p w:rsidR="00A60188" w:rsidRPr="0028043E" w:rsidRDefault="00A60188" w:rsidP="00A60188">
      <w:pPr>
        <w:pStyle w:val="a8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i/>
        </w:rPr>
      </w:pPr>
      <w:r w:rsidRPr="0028043E">
        <w:rPr>
          <w:i/>
        </w:rPr>
        <w:t xml:space="preserve">Модель використання відкритих електронних науково-освітніх систем для розвитку інформаційно-дослідницької компетентності наукових і науково-педагогічних працівників / О. М. </w:t>
      </w:r>
      <w:proofErr w:type="spellStart"/>
      <w:r w:rsidRPr="0028043E">
        <w:rPr>
          <w:i/>
        </w:rPr>
        <w:t>Спірін</w:t>
      </w:r>
      <w:proofErr w:type="spellEnd"/>
      <w:r w:rsidRPr="0028043E">
        <w:rPr>
          <w:i/>
        </w:rPr>
        <w:t xml:space="preserve"> та ін. 2020. Інформаційні технології і засоби навчання: електрон. наук. фахове вид. 2020. № 3 (77). С. 302-323. URL: </w:t>
      </w:r>
      <w:hyperlink r:id="rId18" w:history="1">
        <w:r w:rsidRPr="0028043E">
          <w:rPr>
            <w:i/>
          </w:rPr>
          <w:t>https://journal.iitta.gov.ua/index.php/itlt/article/view/3985</w:t>
        </w:r>
      </w:hyperlink>
      <w:r w:rsidRPr="0028043E">
        <w:rPr>
          <w:i/>
          <w:lang w:val="en-US"/>
        </w:rPr>
        <w:t>.</w:t>
      </w:r>
    </w:p>
    <w:p w:rsidR="00CF5F37" w:rsidRPr="0028043E" w:rsidRDefault="00CF5F37" w:rsidP="002415C2">
      <w:pPr>
        <w:pStyle w:val="a8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i/>
        </w:rPr>
      </w:pPr>
      <w:r w:rsidRPr="0028043E">
        <w:rPr>
          <w:i/>
        </w:rPr>
        <w:t>Діагностичний інструментарій для визначення рівня розвитку ІД-компетентності наукових і науково-педагогічних працівників</w:t>
      </w:r>
      <w:r w:rsidR="00A60188" w:rsidRPr="0028043E">
        <w:rPr>
          <w:i/>
        </w:rPr>
        <w:t xml:space="preserve"> / С.</w:t>
      </w:r>
      <w:r w:rsidR="00A60188" w:rsidRPr="0028043E">
        <w:rPr>
          <w:i/>
          <w:lang w:val="ru-RU"/>
        </w:rPr>
        <w:t> </w:t>
      </w:r>
      <w:r w:rsidR="00A60188" w:rsidRPr="0028043E">
        <w:rPr>
          <w:i/>
        </w:rPr>
        <w:t>М. Іванова.</w:t>
      </w:r>
      <w:r w:rsidRPr="0028043E">
        <w:rPr>
          <w:i/>
        </w:rPr>
        <w:t xml:space="preserve"> 2020. </w:t>
      </w:r>
      <w:r w:rsidR="00A60188" w:rsidRPr="0028043E">
        <w:rPr>
          <w:rFonts w:eastAsia="Calibri"/>
          <w:i/>
          <w:spacing w:val="-6"/>
          <w:lang w:eastAsia="en-US"/>
        </w:rPr>
        <w:t>URL</w:t>
      </w:r>
      <w:r w:rsidR="00A60188" w:rsidRPr="0028043E">
        <w:rPr>
          <w:rFonts w:eastAsia="Calibri"/>
          <w:i/>
          <w:spacing w:val="-6"/>
          <w:lang w:val="en-US" w:eastAsia="en-US"/>
        </w:rPr>
        <w:t> </w:t>
      </w:r>
      <w:r w:rsidR="00A60188" w:rsidRPr="0028043E">
        <w:rPr>
          <w:i/>
          <w:shd w:val="clear" w:color="auto" w:fill="FFFFFF"/>
          <w:lang w:eastAsia="ru-RU"/>
        </w:rPr>
        <w:t>:</w:t>
      </w:r>
      <w:r w:rsidR="00A60188" w:rsidRPr="0028043E">
        <w:rPr>
          <w:i/>
        </w:rPr>
        <w:t xml:space="preserve"> </w:t>
      </w:r>
      <w:hyperlink r:id="rId19" w:tgtFrame="_blank" w:history="1">
        <w:r w:rsidRPr="0028043E">
          <w:rPr>
            <w:i/>
          </w:rPr>
          <w:t>https://lib.iitta.gov.ua/721612/</w:t>
        </w:r>
      </w:hyperlink>
      <w:r w:rsidRPr="0028043E">
        <w:rPr>
          <w:i/>
        </w:rPr>
        <w:t>.</w:t>
      </w:r>
    </w:p>
    <w:p w:rsidR="00E769E8" w:rsidRPr="0028043E" w:rsidRDefault="00E769E8" w:rsidP="002415C2">
      <w:pPr>
        <w:pStyle w:val="a8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i/>
          <w:lang w:val="ru-RU"/>
        </w:rPr>
      </w:pPr>
      <w:r w:rsidRPr="0028043E">
        <w:rPr>
          <w:i/>
        </w:rPr>
        <w:t>Фишер</w:t>
      </w:r>
      <w:r w:rsidR="00A60188" w:rsidRPr="0028043E">
        <w:rPr>
          <w:i/>
        </w:rPr>
        <w:t> Р.</w:t>
      </w:r>
      <w:r w:rsidR="00A60188" w:rsidRPr="0028043E">
        <w:rPr>
          <w:i/>
          <w:lang w:val="ru-RU"/>
        </w:rPr>
        <w:t> </w:t>
      </w:r>
      <w:r w:rsidR="00A60188" w:rsidRPr="0028043E">
        <w:rPr>
          <w:i/>
        </w:rPr>
        <w:t>А.</w:t>
      </w:r>
      <w:r w:rsidRPr="0028043E">
        <w:rPr>
          <w:i/>
        </w:rPr>
        <w:t xml:space="preserve"> </w:t>
      </w:r>
      <w:r w:rsidRPr="0028043E">
        <w:rPr>
          <w:i/>
          <w:lang w:val="ru-RU"/>
        </w:rPr>
        <w:t xml:space="preserve">Статистические методы для исследователей. М.: </w:t>
      </w:r>
      <w:proofErr w:type="spellStart"/>
      <w:r w:rsidRPr="0028043E">
        <w:rPr>
          <w:i/>
          <w:lang w:val="ru-RU"/>
        </w:rPr>
        <w:t>Госстатиздат</w:t>
      </w:r>
      <w:proofErr w:type="spellEnd"/>
      <w:r w:rsidRPr="0028043E">
        <w:rPr>
          <w:i/>
          <w:lang w:val="ru-RU"/>
        </w:rPr>
        <w:t>, 1958.</w:t>
      </w:r>
      <w:r w:rsidR="00A60188" w:rsidRPr="0028043E">
        <w:rPr>
          <w:i/>
          <w:lang w:val="ru-RU"/>
        </w:rPr>
        <w:t xml:space="preserve"> 267 с.</w:t>
      </w:r>
    </w:p>
    <w:sectPr w:rsidR="00E769E8" w:rsidRPr="0028043E" w:rsidSect="001917F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860507"/>
    <w:multiLevelType w:val="multilevel"/>
    <w:tmpl w:val="01C4011E"/>
    <w:lvl w:ilvl="0">
      <w:start w:val="1"/>
      <w:numFmt w:val="decimal"/>
      <w:lvlText w:val="%1."/>
      <w:lvlJc w:val="left"/>
      <w:pPr>
        <w:ind w:left="790" w:hanging="360"/>
      </w:pPr>
      <w:rPr>
        <w:i w:val="0"/>
        <w:color w:val="auto"/>
      </w:rPr>
    </w:lvl>
    <w:lvl w:ilvl="1">
      <w:start w:val="3"/>
      <w:numFmt w:val="decimal"/>
      <w:isLgl/>
      <w:lvlText w:val="%1.%2."/>
      <w:lvlJc w:val="left"/>
      <w:pPr>
        <w:ind w:left="11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0" w:hanging="2160"/>
      </w:pPr>
      <w:rPr>
        <w:rFonts w:hint="default"/>
      </w:rPr>
    </w:lvl>
  </w:abstractNum>
  <w:abstractNum w:abstractNumId="2">
    <w:nsid w:val="46E741CC"/>
    <w:multiLevelType w:val="hybridMultilevel"/>
    <w:tmpl w:val="C6DA1958"/>
    <w:lvl w:ilvl="0" w:tplc="0000000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03B005E"/>
    <w:multiLevelType w:val="hybridMultilevel"/>
    <w:tmpl w:val="9F4A88F6"/>
    <w:lvl w:ilvl="0" w:tplc="0000000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0EA47AF"/>
    <w:multiLevelType w:val="multilevel"/>
    <w:tmpl w:val="BFDE1D34"/>
    <w:lvl w:ilvl="0">
      <w:start w:val="1"/>
      <w:numFmt w:val="decimal"/>
      <w:lvlText w:val="%1."/>
      <w:lvlJc w:val="left"/>
      <w:pPr>
        <w:ind w:left="790" w:hanging="360"/>
      </w:pPr>
      <w:rPr>
        <w:i w:val="0"/>
        <w:color w:val="auto"/>
      </w:rPr>
    </w:lvl>
    <w:lvl w:ilvl="1">
      <w:start w:val="3"/>
      <w:numFmt w:val="decimal"/>
      <w:isLgl/>
      <w:lvlText w:val="%1.%2."/>
      <w:lvlJc w:val="left"/>
      <w:pPr>
        <w:ind w:left="11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0" w:hanging="2160"/>
      </w:pPr>
      <w:rPr>
        <w:rFonts w:hint="default"/>
      </w:rPr>
    </w:lvl>
  </w:abstractNum>
  <w:abstractNum w:abstractNumId="5">
    <w:nsid w:val="65DC6C2D"/>
    <w:multiLevelType w:val="hybridMultilevel"/>
    <w:tmpl w:val="73BA2B92"/>
    <w:lvl w:ilvl="0" w:tplc="0000000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FB958DD"/>
    <w:multiLevelType w:val="hybridMultilevel"/>
    <w:tmpl w:val="AA96EBDC"/>
    <w:lvl w:ilvl="0" w:tplc="B4F25F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1163618"/>
    <w:multiLevelType w:val="hybridMultilevel"/>
    <w:tmpl w:val="FA309414"/>
    <w:lvl w:ilvl="0" w:tplc="512EEA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17F6"/>
    <w:rsid w:val="00004F21"/>
    <w:rsid w:val="00094982"/>
    <w:rsid w:val="000B57FB"/>
    <w:rsid w:val="00107666"/>
    <w:rsid w:val="001917F6"/>
    <w:rsid w:val="00194CC6"/>
    <w:rsid w:val="001E0DE2"/>
    <w:rsid w:val="002415C2"/>
    <w:rsid w:val="0028043E"/>
    <w:rsid w:val="00285472"/>
    <w:rsid w:val="002D4FE1"/>
    <w:rsid w:val="0034047C"/>
    <w:rsid w:val="00341FAD"/>
    <w:rsid w:val="003B2644"/>
    <w:rsid w:val="003B63A4"/>
    <w:rsid w:val="00410A51"/>
    <w:rsid w:val="00490E59"/>
    <w:rsid w:val="0050240B"/>
    <w:rsid w:val="00543A6F"/>
    <w:rsid w:val="005D27CC"/>
    <w:rsid w:val="005D30D1"/>
    <w:rsid w:val="0060171A"/>
    <w:rsid w:val="0062315E"/>
    <w:rsid w:val="00624026"/>
    <w:rsid w:val="006258BF"/>
    <w:rsid w:val="0066572D"/>
    <w:rsid w:val="006B7B85"/>
    <w:rsid w:val="00713CA0"/>
    <w:rsid w:val="007158A9"/>
    <w:rsid w:val="0077271F"/>
    <w:rsid w:val="007D063E"/>
    <w:rsid w:val="00803128"/>
    <w:rsid w:val="008933A5"/>
    <w:rsid w:val="008B559F"/>
    <w:rsid w:val="009666AD"/>
    <w:rsid w:val="009E2017"/>
    <w:rsid w:val="00A60188"/>
    <w:rsid w:val="00B41527"/>
    <w:rsid w:val="00B60AC4"/>
    <w:rsid w:val="00BA273B"/>
    <w:rsid w:val="00C57DE7"/>
    <w:rsid w:val="00C67A64"/>
    <w:rsid w:val="00C868FA"/>
    <w:rsid w:val="00CB25A9"/>
    <w:rsid w:val="00CF5F37"/>
    <w:rsid w:val="00D119CF"/>
    <w:rsid w:val="00D11DE3"/>
    <w:rsid w:val="00D95E0C"/>
    <w:rsid w:val="00DC5969"/>
    <w:rsid w:val="00E14B27"/>
    <w:rsid w:val="00E24C5D"/>
    <w:rsid w:val="00E3137D"/>
    <w:rsid w:val="00E769E8"/>
    <w:rsid w:val="00E97A92"/>
    <w:rsid w:val="00E97C71"/>
    <w:rsid w:val="00EB1784"/>
    <w:rsid w:val="00FC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72"/>
  </w:style>
  <w:style w:type="paragraph" w:styleId="1">
    <w:name w:val="heading 1"/>
    <w:basedOn w:val="a"/>
    <w:next w:val="a"/>
    <w:link w:val="10"/>
    <w:uiPriority w:val="99"/>
    <w:qFormat/>
    <w:rsid w:val="0077271F"/>
    <w:pPr>
      <w:keepNext/>
      <w:numPr>
        <w:numId w:val="8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1"/>
    <w:uiPriority w:val="99"/>
    <w:qFormat/>
    <w:rsid w:val="0077271F"/>
    <w:pPr>
      <w:numPr>
        <w:ilvl w:val="1"/>
        <w:numId w:val="8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1917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qFormat/>
    <w:rsid w:val="00D11DE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1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11DE3"/>
    <w:rPr>
      <w:rFonts w:ascii="Tahoma" w:hAnsi="Tahoma" w:cs="Tahoma"/>
      <w:sz w:val="16"/>
      <w:szCs w:val="16"/>
    </w:rPr>
  </w:style>
  <w:style w:type="paragraph" w:styleId="a0">
    <w:name w:val="Body Text"/>
    <w:basedOn w:val="a"/>
    <w:link w:val="a7"/>
    <w:uiPriority w:val="99"/>
    <w:rsid w:val="00E14B2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1"/>
    <w:link w:val="a0"/>
    <w:uiPriority w:val="99"/>
    <w:rsid w:val="00E14B27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List Paragraph"/>
    <w:aliases w:val="Диссер"/>
    <w:basedOn w:val="a"/>
    <w:link w:val="a9"/>
    <w:uiPriority w:val="34"/>
    <w:qFormat/>
    <w:rsid w:val="00004F2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9">
    <w:name w:val="Абзац списка Знак"/>
    <w:aliases w:val="Диссер Знак"/>
    <w:basedOn w:val="a1"/>
    <w:link w:val="a8"/>
    <w:uiPriority w:val="34"/>
    <w:rsid w:val="00004F21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styleId="aa">
    <w:name w:val="Hyperlink"/>
    <w:basedOn w:val="a1"/>
    <w:uiPriority w:val="99"/>
    <w:unhideWhenUsed/>
    <w:rsid w:val="00D119CF"/>
    <w:rPr>
      <w:color w:val="0000FF" w:themeColor="hyperlink"/>
      <w:u w:val="single"/>
    </w:rPr>
  </w:style>
  <w:style w:type="table" w:styleId="ab">
    <w:name w:val="Table Grid"/>
    <w:basedOn w:val="a2"/>
    <w:unhideWhenUsed/>
    <w:rsid w:val="00772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азва таблиці"/>
    <w:basedOn w:val="a"/>
    <w:link w:val="ad"/>
    <w:qFormat/>
    <w:rsid w:val="0077271F"/>
    <w:pPr>
      <w:spacing w:after="0" w:line="360" w:lineRule="auto"/>
      <w:jc w:val="right"/>
    </w:pPr>
    <w:rPr>
      <w:rFonts w:ascii="Times New Roman" w:hAnsi="Times New Roman"/>
      <w:i/>
      <w:sz w:val="28"/>
      <w:lang w:val="uk-UA"/>
    </w:rPr>
  </w:style>
  <w:style w:type="character" w:customStyle="1" w:styleId="ad">
    <w:name w:val="Назва таблиці Знак"/>
    <w:basedOn w:val="a1"/>
    <w:link w:val="ac"/>
    <w:rsid w:val="0077271F"/>
    <w:rPr>
      <w:rFonts w:ascii="Times New Roman" w:hAnsi="Times New Roman"/>
      <w:i/>
      <w:sz w:val="28"/>
      <w:lang w:val="uk-UA"/>
    </w:rPr>
  </w:style>
  <w:style w:type="paragraph" w:styleId="ae">
    <w:name w:val="caption"/>
    <w:basedOn w:val="a"/>
    <w:next w:val="a"/>
    <w:uiPriority w:val="35"/>
    <w:unhideWhenUsed/>
    <w:qFormat/>
    <w:rsid w:val="0077271F"/>
    <w:pPr>
      <w:spacing w:line="240" w:lineRule="auto"/>
      <w:ind w:firstLine="709"/>
      <w:jc w:val="center"/>
    </w:pPr>
    <w:rPr>
      <w:rFonts w:ascii="Times New Roman" w:hAnsi="Times New Roman"/>
      <w:bCs/>
      <w:sz w:val="28"/>
      <w:szCs w:val="18"/>
      <w:lang w:val="uk-UA"/>
    </w:rPr>
  </w:style>
  <w:style w:type="character" w:customStyle="1" w:styleId="10">
    <w:name w:val="Заголовок 1 Знак"/>
    <w:basedOn w:val="a1"/>
    <w:link w:val="1"/>
    <w:uiPriority w:val="99"/>
    <w:rsid w:val="0077271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uiPriority w:val="9"/>
    <w:semiHidden/>
    <w:rsid w:val="00772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basedOn w:val="a1"/>
    <w:link w:val="2"/>
    <w:uiPriority w:val="99"/>
    <w:locked/>
    <w:rsid w:val="0077271F"/>
    <w:rPr>
      <w:rFonts w:ascii="Times New Roman" w:eastAsia="Times New Roman" w:hAnsi="Times New Roman" w:cs="Times New Roman"/>
      <w:b/>
      <w:bCs/>
      <w:sz w:val="36"/>
      <w:szCs w:val="36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hyperlink" Target="https://journal.iitta.gov.ua/index.php/itlt/article/view/3985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hyperlink" Target="https://zakon.rada.gov.ua/laws/show/386-2013-%D1%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67-2018-%D1%80/sp:max1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hyperlink" Target="https://lib.iitta.gov.ua/721612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7249</Words>
  <Characters>4132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</dc:creator>
  <cp:lastModifiedBy>Svetlana</cp:lastModifiedBy>
  <cp:revision>2</cp:revision>
  <dcterms:created xsi:type="dcterms:W3CDTF">2020-11-11T17:08:00Z</dcterms:created>
  <dcterms:modified xsi:type="dcterms:W3CDTF">2020-11-11T17:08:00Z</dcterms:modified>
</cp:coreProperties>
</file>